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A647" w14:textId="03329205" w:rsidR="006379A9" w:rsidRDefault="00D2420E" w:rsidP="006379A9">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23</w:t>
      </w:r>
      <w:r w:rsidR="007D55B5">
        <w:rPr>
          <w:rFonts w:ascii="Arial" w:hAnsi="Arial" w:cs="Arial"/>
          <w:color w:val="000000"/>
          <w:sz w:val="16"/>
          <w:szCs w:val="16"/>
        </w:rPr>
        <w:t xml:space="preserve"> Mayıs</w:t>
      </w:r>
      <w:r w:rsidR="006379A9">
        <w:rPr>
          <w:rFonts w:ascii="Arial" w:hAnsi="Arial" w:cs="Arial"/>
          <w:color w:val="000000"/>
          <w:sz w:val="16"/>
          <w:szCs w:val="16"/>
        </w:rPr>
        <w:t xml:space="preserve"> 2026</w:t>
      </w:r>
      <w:r w:rsidR="006379A9">
        <w:rPr>
          <w:rFonts w:ascii="ArialMT" w:hAnsi="ArialMT" w:cs="ArialMT"/>
          <w:color w:val="000000"/>
          <w:sz w:val="16"/>
          <w:szCs w:val="16"/>
        </w:rPr>
        <w:t xml:space="preserve">                                    </w:t>
      </w:r>
      <w:r>
        <w:rPr>
          <w:rFonts w:ascii="ArialMT" w:hAnsi="ArialMT" w:cs="ArialMT"/>
          <w:color w:val="000000"/>
          <w:sz w:val="16"/>
          <w:szCs w:val="16"/>
        </w:rPr>
        <w:t xml:space="preserve">                    </w:t>
      </w:r>
      <w:r w:rsidR="006379A9">
        <w:rPr>
          <w:rFonts w:ascii="ArialMT" w:hAnsi="ArialMT" w:cs="ArialMT"/>
          <w:color w:val="000000"/>
          <w:sz w:val="16"/>
          <w:szCs w:val="16"/>
        </w:rPr>
        <w:t xml:space="preserve">       </w:t>
      </w:r>
      <w:r w:rsidR="006379A9">
        <w:rPr>
          <w:rFonts w:ascii="PalatinoLinotype-Bold" w:hAnsi="PalatinoLinotype-Bold" w:cs="PalatinoLinotype-Bold"/>
          <w:b/>
          <w:bCs/>
          <w:color w:val="B70000"/>
          <w:sz w:val="24"/>
          <w:szCs w:val="24"/>
        </w:rPr>
        <w:t xml:space="preserve">Resmî Gazete                                   </w:t>
      </w:r>
      <w:r>
        <w:rPr>
          <w:rFonts w:ascii="PalatinoLinotype-Bold" w:hAnsi="PalatinoLinotype-Bold" w:cs="PalatinoLinotype-Bold"/>
          <w:b/>
          <w:bCs/>
          <w:color w:val="B70000"/>
          <w:sz w:val="24"/>
          <w:szCs w:val="24"/>
        </w:rPr>
        <w:t xml:space="preserve">   </w:t>
      </w:r>
      <w:r w:rsidR="006379A9">
        <w:rPr>
          <w:rFonts w:ascii="PalatinoLinotype-Bold" w:hAnsi="PalatinoLinotype-Bold" w:cs="PalatinoLinotype-Bold"/>
          <w:b/>
          <w:bCs/>
          <w:color w:val="B70000"/>
          <w:sz w:val="24"/>
          <w:szCs w:val="24"/>
        </w:rPr>
        <w:t xml:space="preserve">           </w:t>
      </w:r>
      <w:r w:rsidR="006379A9">
        <w:rPr>
          <w:rFonts w:ascii="ArialMT" w:hAnsi="ArialMT" w:cs="ArialMT"/>
          <w:color w:val="000000"/>
          <w:sz w:val="16"/>
          <w:szCs w:val="16"/>
        </w:rPr>
        <w:t>Sayı:</w:t>
      </w:r>
      <w:r>
        <w:rPr>
          <w:rFonts w:ascii="ArialMT" w:hAnsi="ArialMT" w:cs="ArialMT"/>
          <w:color w:val="000000"/>
          <w:sz w:val="16"/>
          <w:szCs w:val="16"/>
        </w:rPr>
        <w:t xml:space="preserve"> </w:t>
      </w:r>
      <w:r w:rsidR="006379A9">
        <w:rPr>
          <w:rFonts w:ascii="Arial" w:hAnsi="Arial" w:cs="Arial"/>
          <w:color w:val="000000"/>
          <w:sz w:val="16"/>
          <w:szCs w:val="16"/>
        </w:rPr>
        <w:t>33</w:t>
      </w:r>
      <w:r>
        <w:rPr>
          <w:rFonts w:ascii="Arial" w:hAnsi="Arial" w:cs="Arial"/>
          <w:color w:val="000000"/>
          <w:sz w:val="16"/>
          <w:szCs w:val="16"/>
        </w:rPr>
        <w:t>262</w:t>
      </w:r>
    </w:p>
    <w:p w14:paraId="48EACF01" w14:textId="6DDAEFE8" w:rsidR="006379A9" w:rsidRDefault="006379A9" w:rsidP="006379A9">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14:paraId="731431B3" w14:textId="77777777" w:rsidR="006379A9" w:rsidRDefault="006379A9" w:rsidP="006379A9">
      <w:pPr>
        <w:widowControl w:val="0"/>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55B81D3B" w14:textId="77777777" w:rsidR="007F3EE4" w:rsidRPr="005E7952" w:rsidRDefault="007F3EE4" w:rsidP="00FB7F56">
      <w:pPr>
        <w:tabs>
          <w:tab w:val="left" w:pos="709"/>
        </w:tabs>
        <w:spacing w:after="0" w:line="240" w:lineRule="auto"/>
        <w:ind w:firstLine="709"/>
        <w:jc w:val="both"/>
        <w:rPr>
          <w:rFonts w:ascii="Times New Roman" w:eastAsia="Calibri" w:hAnsi="Times New Roman" w:cs="Times New Roman"/>
          <w:b/>
          <w:sz w:val="18"/>
          <w:szCs w:val="18"/>
        </w:rPr>
      </w:pPr>
    </w:p>
    <w:p w14:paraId="1346485D" w14:textId="77777777" w:rsidR="007F3EE4" w:rsidRPr="005E7952" w:rsidRDefault="007F3EE4" w:rsidP="00FB7F56">
      <w:pPr>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5E7952">
        <w:rPr>
          <w:rFonts w:ascii="Times New Roman" w:eastAsia="Times New Roman" w:hAnsi="Times New Roman" w:cs="Times New Roman"/>
          <w:bCs/>
          <w:noProof/>
          <w:sz w:val="18"/>
          <w:szCs w:val="18"/>
          <w:u w:val="single"/>
          <w:lang w:eastAsia="tr-TR"/>
        </w:rPr>
        <w:t>Sosyal Güvenlik Kurumu Başkanlığından:</w:t>
      </w:r>
    </w:p>
    <w:p w14:paraId="0A52C8CB" w14:textId="77777777" w:rsidR="007F3EE4" w:rsidRPr="005E7952" w:rsidRDefault="007F3EE4" w:rsidP="00FB7F56">
      <w:pPr>
        <w:tabs>
          <w:tab w:val="left" w:pos="709"/>
          <w:tab w:val="left" w:pos="3342"/>
        </w:tabs>
        <w:spacing w:after="0" w:line="240" w:lineRule="auto"/>
        <w:ind w:firstLine="709"/>
        <w:jc w:val="center"/>
        <w:rPr>
          <w:rFonts w:ascii="Times New Roman" w:eastAsia="Times New Roman" w:hAnsi="Times New Roman" w:cs="Times New Roman"/>
          <w:b/>
          <w:bCs/>
          <w:noProof/>
          <w:sz w:val="18"/>
          <w:szCs w:val="18"/>
          <w:lang w:eastAsia="tr-TR"/>
        </w:rPr>
      </w:pPr>
      <w:r w:rsidRPr="005E7952">
        <w:rPr>
          <w:rFonts w:ascii="Times New Roman" w:eastAsia="Times New Roman" w:hAnsi="Times New Roman" w:cs="Times New Roman"/>
          <w:b/>
          <w:bCs/>
          <w:noProof/>
          <w:sz w:val="18"/>
          <w:szCs w:val="18"/>
          <w:lang w:eastAsia="tr-TR"/>
        </w:rPr>
        <w:t>SOSYAL GÜVENLİK KURUMU SAĞLIK UYGULAMA TEBLİĞİNDE</w:t>
      </w:r>
    </w:p>
    <w:p w14:paraId="24EDBF48" w14:textId="77777777" w:rsidR="007F3EE4" w:rsidRPr="005E7952" w:rsidRDefault="007F3EE4" w:rsidP="00FB7F56">
      <w:pPr>
        <w:tabs>
          <w:tab w:val="left" w:pos="709"/>
          <w:tab w:val="left" w:pos="3342"/>
        </w:tabs>
        <w:spacing w:after="0" w:line="240" w:lineRule="auto"/>
        <w:ind w:firstLine="709"/>
        <w:jc w:val="center"/>
        <w:rPr>
          <w:rFonts w:ascii="Times New Roman" w:eastAsia="Calibri" w:hAnsi="Times New Roman" w:cs="Times New Roman"/>
          <w:sz w:val="18"/>
          <w:szCs w:val="18"/>
        </w:rPr>
      </w:pPr>
      <w:r w:rsidRPr="005E7952">
        <w:rPr>
          <w:rFonts w:ascii="Times New Roman" w:eastAsia="Times New Roman" w:hAnsi="Times New Roman" w:cs="Times New Roman"/>
          <w:b/>
          <w:bCs/>
          <w:noProof/>
          <w:sz w:val="18"/>
          <w:szCs w:val="18"/>
          <w:lang w:eastAsia="tr-TR"/>
        </w:rPr>
        <w:t>DEĞİŞİKLİK YAPILMASINA DAİR TEBLİĞ</w:t>
      </w:r>
    </w:p>
    <w:p w14:paraId="4FCFF516" w14:textId="77777777" w:rsidR="007F3EE4" w:rsidRPr="005E7952" w:rsidRDefault="007F3EE4" w:rsidP="00FB7F56">
      <w:pPr>
        <w:tabs>
          <w:tab w:val="left" w:pos="709"/>
        </w:tabs>
        <w:spacing w:after="0" w:line="240" w:lineRule="auto"/>
        <w:ind w:firstLine="709"/>
        <w:jc w:val="both"/>
        <w:rPr>
          <w:rFonts w:ascii="Times New Roman" w:hAnsi="Times New Roman" w:cs="Times New Roman"/>
          <w:b/>
          <w:bCs/>
          <w:sz w:val="18"/>
          <w:szCs w:val="18"/>
        </w:rPr>
      </w:pPr>
    </w:p>
    <w:p w14:paraId="413C8BCF" w14:textId="77777777" w:rsidR="007D55B5" w:rsidRPr="00A25CE7" w:rsidRDefault="007D55B5" w:rsidP="007D55B5">
      <w:pPr>
        <w:keepNext/>
        <w:keepLines/>
        <w:tabs>
          <w:tab w:val="left" w:pos="709"/>
          <w:tab w:val="left" w:pos="993"/>
        </w:tabs>
        <w:spacing w:after="0" w:line="240" w:lineRule="auto"/>
        <w:jc w:val="both"/>
        <w:rPr>
          <w:rFonts w:ascii="Times New Roman" w:eastAsiaTheme="majorEastAsia" w:hAnsi="Times New Roman" w:cs="Times New Roman"/>
          <w:bCs/>
          <w:sz w:val="18"/>
          <w:szCs w:val="18"/>
        </w:rPr>
      </w:pPr>
    </w:p>
    <w:p w14:paraId="4ACC6096" w14:textId="77777777" w:rsidR="007D55B5" w:rsidRPr="00A25CE7" w:rsidRDefault="007D55B5" w:rsidP="007D55B5">
      <w:pPr>
        <w:tabs>
          <w:tab w:val="left" w:pos="709"/>
        </w:tabs>
        <w:spacing w:after="0" w:line="240" w:lineRule="auto"/>
        <w:ind w:firstLine="709"/>
        <w:jc w:val="both"/>
        <w:rPr>
          <w:rFonts w:ascii="Times New Roman" w:eastAsia="Times New Roman" w:hAnsi="Times New Roman" w:cs="Times New Roman"/>
          <w:sz w:val="18"/>
          <w:szCs w:val="18"/>
        </w:rPr>
      </w:pPr>
      <w:bookmarkStart w:id="0" w:name="_Hlk128650442"/>
      <w:r w:rsidRPr="00A25CE7">
        <w:rPr>
          <w:rFonts w:ascii="Times New Roman" w:hAnsi="Times New Roman" w:cs="Times New Roman"/>
          <w:b/>
          <w:bCs/>
          <w:sz w:val="18"/>
          <w:szCs w:val="18"/>
        </w:rPr>
        <w:t>MADDE 1</w:t>
      </w:r>
      <w:r w:rsidRPr="00A25CE7">
        <w:rPr>
          <w:rFonts w:ascii="Times New Roman" w:hAnsi="Times New Roman" w:cs="Times New Roman"/>
          <w:bCs/>
          <w:sz w:val="18"/>
          <w:szCs w:val="18"/>
        </w:rPr>
        <w:t xml:space="preserve">- </w:t>
      </w:r>
      <w:r w:rsidRPr="00A25CE7">
        <w:rPr>
          <w:rFonts w:ascii="Times New Roman" w:eastAsia="Times New Roman" w:hAnsi="Times New Roman" w:cs="Times New Roman"/>
          <w:bCs/>
          <w:sz w:val="18"/>
          <w:szCs w:val="18"/>
          <w:lang w:eastAsia="tr-TR"/>
        </w:rPr>
        <w:t xml:space="preserve">24/3/2013 tarihli ve 28597 sayılı Resmî </w:t>
      </w:r>
      <w:proofErr w:type="spellStart"/>
      <w:r w:rsidRPr="00A25CE7">
        <w:rPr>
          <w:rFonts w:ascii="Times New Roman" w:eastAsia="Times New Roman" w:hAnsi="Times New Roman" w:cs="Times New Roman"/>
          <w:bCs/>
          <w:sz w:val="18"/>
          <w:szCs w:val="18"/>
          <w:lang w:eastAsia="tr-TR"/>
        </w:rPr>
        <w:t>Gazete’de</w:t>
      </w:r>
      <w:proofErr w:type="spellEnd"/>
      <w:r w:rsidRPr="00A25CE7">
        <w:rPr>
          <w:rFonts w:ascii="Times New Roman" w:eastAsia="Times New Roman" w:hAnsi="Times New Roman" w:cs="Times New Roman"/>
          <w:bCs/>
          <w:sz w:val="18"/>
          <w:szCs w:val="18"/>
          <w:lang w:eastAsia="tr-TR"/>
        </w:rPr>
        <w:t xml:space="preserve"> yayımlanan Sosyal Güvenlik Kurumu Sağlık Uygulama </w:t>
      </w:r>
      <w:r w:rsidRPr="00A25CE7">
        <w:rPr>
          <w:rFonts w:ascii="Times New Roman" w:hAnsi="Times New Roman" w:cs="Times New Roman"/>
          <w:bCs/>
          <w:sz w:val="18"/>
          <w:szCs w:val="18"/>
        </w:rPr>
        <w:t xml:space="preserve">Tebliğinin </w:t>
      </w:r>
      <w:r w:rsidRPr="00A25CE7">
        <w:rPr>
          <w:rFonts w:ascii="Times New Roman" w:eastAsia="Times New Roman" w:hAnsi="Times New Roman" w:cs="Times New Roman"/>
          <w:sz w:val="18"/>
          <w:szCs w:val="18"/>
        </w:rPr>
        <w:t xml:space="preserve">4.2.1.C-1 </w:t>
      </w:r>
      <w:r>
        <w:rPr>
          <w:rFonts w:ascii="Times New Roman" w:eastAsia="Times New Roman" w:hAnsi="Times New Roman" w:cs="Times New Roman"/>
          <w:sz w:val="18"/>
          <w:szCs w:val="18"/>
        </w:rPr>
        <w:t xml:space="preserve">numaralı </w:t>
      </w:r>
      <w:r w:rsidRPr="00A25CE7">
        <w:rPr>
          <w:rFonts w:ascii="Times New Roman" w:eastAsia="Times New Roman" w:hAnsi="Times New Roman" w:cs="Times New Roman"/>
          <w:sz w:val="18"/>
          <w:szCs w:val="18"/>
        </w:rPr>
        <w:t>maddesinde aşağıdaki d</w:t>
      </w:r>
      <w:r>
        <w:rPr>
          <w:rFonts w:ascii="Times New Roman" w:eastAsia="Times New Roman" w:hAnsi="Times New Roman" w:cs="Times New Roman"/>
          <w:sz w:val="18"/>
          <w:szCs w:val="18"/>
        </w:rPr>
        <w:t>üzenlemeler</w:t>
      </w:r>
      <w:r w:rsidRPr="00A25CE7">
        <w:rPr>
          <w:rFonts w:ascii="Times New Roman" w:eastAsia="Times New Roman" w:hAnsi="Times New Roman" w:cs="Times New Roman"/>
          <w:sz w:val="18"/>
          <w:szCs w:val="18"/>
        </w:rPr>
        <w:t xml:space="preserve"> yapılmıştır.</w:t>
      </w:r>
    </w:p>
    <w:p w14:paraId="1DA232E9" w14:textId="77777777" w:rsidR="007D55B5" w:rsidRDefault="007D55B5" w:rsidP="007D55B5">
      <w:pPr>
        <w:tabs>
          <w:tab w:val="left" w:pos="426"/>
          <w:tab w:val="left" w:pos="709"/>
        </w:tabs>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6A1F67">
        <w:rPr>
          <w:rFonts w:ascii="Times New Roman" w:eastAsia="Times New Roman" w:hAnsi="Times New Roman" w:cs="Times New Roman"/>
          <w:sz w:val="18"/>
          <w:szCs w:val="18"/>
        </w:rPr>
        <w:t>a)</w:t>
      </w:r>
      <w:r>
        <w:rPr>
          <w:rFonts w:ascii="Times New Roman" w:eastAsia="Times New Roman" w:hAnsi="Times New Roman" w:cs="Times New Roman"/>
          <w:sz w:val="18"/>
          <w:szCs w:val="18"/>
        </w:rPr>
        <w:t xml:space="preserve"> </w:t>
      </w:r>
      <w:r w:rsidRPr="006A1F67">
        <w:rPr>
          <w:rFonts w:ascii="Times New Roman" w:eastAsia="Times New Roman" w:hAnsi="Times New Roman" w:cs="Times New Roman"/>
          <w:sz w:val="18"/>
          <w:szCs w:val="18"/>
        </w:rPr>
        <w:t>Birinci fıkrasının (a) bendinde yer alan “(</w:t>
      </w:r>
      <w:proofErr w:type="spellStart"/>
      <w:r w:rsidRPr="006A1F67">
        <w:rPr>
          <w:rFonts w:ascii="Times New Roman" w:eastAsia="Times New Roman" w:hAnsi="Times New Roman" w:cs="Times New Roman"/>
          <w:sz w:val="18"/>
          <w:szCs w:val="18"/>
        </w:rPr>
        <w:t>sertolizumab</w:t>
      </w:r>
      <w:proofErr w:type="spellEnd"/>
      <w:r w:rsidRPr="006A1F67">
        <w:rPr>
          <w:rFonts w:ascii="Times New Roman" w:eastAsia="Times New Roman" w:hAnsi="Times New Roman" w:cs="Times New Roman"/>
          <w:sz w:val="18"/>
          <w:szCs w:val="18"/>
        </w:rPr>
        <w:t xml:space="preserve"> için 1,2)” ibaresi</w:t>
      </w:r>
      <w:r>
        <w:rPr>
          <w:rFonts w:ascii="Times New Roman" w:eastAsia="Times New Roman" w:hAnsi="Times New Roman" w:cs="Times New Roman"/>
          <w:sz w:val="18"/>
          <w:szCs w:val="18"/>
        </w:rPr>
        <w:t xml:space="preserve"> ile </w:t>
      </w:r>
      <w:r w:rsidRPr="006A1F67">
        <w:rPr>
          <w:rFonts w:ascii="Times New Roman" w:hAnsi="Times New Roman" w:cs="Times New Roman"/>
          <w:sz w:val="18"/>
          <w:szCs w:val="18"/>
        </w:rPr>
        <w:t>“(</w:t>
      </w:r>
      <w:proofErr w:type="spellStart"/>
      <w:r w:rsidRPr="006A1F67">
        <w:rPr>
          <w:rFonts w:ascii="Times New Roman" w:hAnsi="Times New Roman" w:cs="Times New Roman"/>
          <w:sz w:val="18"/>
          <w:szCs w:val="18"/>
        </w:rPr>
        <w:t>sertolizumab</w:t>
      </w:r>
      <w:proofErr w:type="spellEnd"/>
      <w:r w:rsidRPr="006A1F67">
        <w:rPr>
          <w:rFonts w:ascii="Times New Roman" w:hAnsi="Times New Roman" w:cs="Times New Roman"/>
          <w:sz w:val="18"/>
          <w:szCs w:val="18"/>
        </w:rPr>
        <w:t xml:space="preserve"> için 6 ay</w:t>
      </w:r>
      <w:r w:rsidRPr="00386C08">
        <w:rPr>
          <w:rFonts w:ascii="Times New Roman" w:hAnsi="Times New Roman" w:cs="Times New Roman"/>
          <w:sz w:val="18"/>
          <w:szCs w:val="18"/>
        </w:rPr>
        <w:t>)” ibareleri</w:t>
      </w:r>
      <w:r>
        <w:rPr>
          <w:rFonts w:ascii="Times New Roman" w:hAnsi="Times New Roman" w:cs="Times New Roman"/>
          <w:sz w:val="18"/>
          <w:szCs w:val="18"/>
        </w:rPr>
        <w:t xml:space="preserve"> yürürlükten kaldırılmış ve aynı bendin </w:t>
      </w:r>
      <w:r>
        <w:rPr>
          <w:rFonts w:ascii="Times New Roman" w:eastAsia="Times New Roman" w:hAnsi="Times New Roman" w:cs="Times New Roman"/>
          <w:sz w:val="18"/>
          <w:szCs w:val="18"/>
        </w:rPr>
        <w:t>(</w:t>
      </w:r>
      <w:r w:rsidRPr="006A1F67">
        <w:rPr>
          <w:rFonts w:ascii="Times New Roman" w:eastAsia="Times New Roman" w:hAnsi="Times New Roman" w:cs="Times New Roman"/>
          <w:sz w:val="18"/>
          <w:szCs w:val="18"/>
        </w:rPr>
        <w:t>1</w:t>
      </w:r>
      <w:r>
        <w:rPr>
          <w:rFonts w:ascii="Times New Roman" w:eastAsia="Times New Roman" w:hAnsi="Times New Roman" w:cs="Times New Roman"/>
          <w:sz w:val="18"/>
          <w:szCs w:val="18"/>
        </w:rPr>
        <w:t>)</w:t>
      </w:r>
      <w:r w:rsidRPr="006A1F67">
        <w:rPr>
          <w:rFonts w:ascii="Times New Roman" w:eastAsia="Times New Roman" w:hAnsi="Times New Roman" w:cs="Times New Roman"/>
          <w:sz w:val="18"/>
          <w:szCs w:val="18"/>
        </w:rPr>
        <w:t xml:space="preserve"> numaralı alt </w:t>
      </w:r>
      <w:r>
        <w:rPr>
          <w:rFonts w:ascii="Times New Roman" w:eastAsia="Times New Roman" w:hAnsi="Times New Roman" w:cs="Times New Roman"/>
          <w:sz w:val="18"/>
          <w:szCs w:val="18"/>
        </w:rPr>
        <w:t>bendi aşağıdaki şekilde değiştirilmiştir.</w:t>
      </w:r>
    </w:p>
    <w:p w14:paraId="7287D501" w14:textId="77777777" w:rsidR="007D55B5" w:rsidRPr="00BB5510" w:rsidRDefault="007D55B5" w:rsidP="007D55B5">
      <w:pPr>
        <w:tabs>
          <w:tab w:val="left" w:pos="709"/>
        </w:tabs>
        <w:spacing w:after="0" w:line="240" w:lineRule="auto"/>
        <w:ind w:firstLine="709"/>
        <w:jc w:val="both"/>
        <w:rPr>
          <w:rFonts w:ascii="Times New Roman" w:eastAsia="Times New Roman" w:hAnsi="Times New Roman" w:cs="Times New Roman"/>
          <w:sz w:val="18"/>
          <w:szCs w:val="18"/>
        </w:rPr>
      </w:pPr>
      <w:r w:rsidRPr="00BB5510">
        <w:rPr>
          <w:rFonts w:ascii="Times New Roman" w:eastAsia="Times New Roman" w:hAnsi="Times New Roman" w:cs="Times New Roman"/>
          <w:sz w:val="18"/>
          <w:szCs w:val="18"/>
        </w:rPr>
        <w:t>“</w:t>
      </w:r>
      <w:r w:rsidRPr="008C4AFC">
        <w:rPr>
          <w:rFonts w:ascii="Times New Roman" w:eastAsia="Times New Roman" w:hAnsi="Times New Roman" w:cs="Times New Roman"/>
          <w:sz w:val="18"/>
          <w:szCs w:val="18"/>
        </w:rPr>
        <w:t xml:space="preserve">1) </w:t>
      </w:r>
      <w:proofErr w:type="spellStart"/>
      <w:r w:rsidRPr="008C4AFC">
        <w:rPr>
          <w:rFonts w:ascii="Times New Roman" w:eastAsia="Times New Roman" w:hAnsi="Times New Roman" w:cs="Times New Roman"/>
          <w:sz w:val="18"/>
          <w:szCs w:val="18"/>
        </w:rPr>
        <w:t>İnfliksimab</w:t>
      </w:r>
      <w:proofErr w:type="spellEnd"/>
      <w:r w:rsidRPr="008C4AFC">
        <w:rPr>
          <w:rFonts w:ascii="Times New Roman" w:eastAsia="Times New Roman" w:hAnsi="Times New Roman" w:cs="Times New Roman"/>
          <w:sz w:val="18"/>
          <w:szCs w:val="18"/>
        </w:rPr>
        <w:t xml:space="preserve">, </w:t>
      </w:r>
      <w:proofErr w:type="spellStart"/>
      <w:r w:rsidRPr="008C4AFC">
        <w:rPr>
          <w:rFonts w:ascii="Times New Roman" w:eastAsia="Times New Roman" w:hAnsi="Times New Roman" w:cs="Times New Roman"/>
          <w:sz w:val="18"/>
          <w:szCs w:val="18"/>
        </w:rPr>
        <w:t>sertolizumab</w:t>
      </w:r>
      <w:proofErr w:type="spellEnd"/>
      <w:r w:rsidRPr="008C4AFC">
        <w:rPr>
          <w:rFonts w:ascii="Times New Roman" w:eastAsia="Times New Roman" w:hAnsi="Times New Roman" w:cs="Times New Roman"/>
          <w:sz w:val="18"/>
          <w:szCs w:val="18"/>
        </w:rPr>
        <w:t xml:space="preserve"> ve </w:t>
      </w:r>
      <w:proofErr w:type="spellStart"/>
      <w:r w:rsidRPr="008C4AFC">
        <w:rPr>
          <w:rFonts w:ascii="Times New Roman" w:eastAsia="Times New Roman" w:hAnsi="Times New Roman" w:cs="Times New Roman"/>
          <w:sz w:val="18"/>
          <w:szCs w:val="18"/>
        </w:rPr>
        <w:t>golimumab</w:t>
      </w:r>
      <w:proofErr w:type="spellEnd"/>
      <w:r w:rsidRPr="008C4AFC">
        <w:rPr>
          <w:rFonts w:ascii="Times New Roman" w:eastAsia="Times New Roman" w:hAnsi="Times New Roman" w:cs="Times New Roman"/>
          <w:sz w:val="18"/>
          <w:szCs w:val="18"/>
        </w:rPr>
        <w:t xml:space="preserve"> etkin maddeli ilaçlara, yukarıda belirtilen koşullarda ve sürelerde diğer anti-TNF ilaçlardan en az birini kullanmış ve cevap alınamamış hastalarda, bu durumun belirtildiği 3 ay süreli sağlık kurulu raporu ile başlanır. İlaca başlandıktan 3 ay sonra yapılan değerlendirmede DAS 28 skorunda 0,6 (</w:t>
      </w:r>
      <w:proofErr w:type="spellStart"/>
      <w:r w:rsidRPr="008C4AFC">
        <w:rPr>
          <w:rFonts w:ascii="Times New Roman" w:eastAsia="Times New Roman" w:hAnsi="Times New Roman" w:cs="Times New Roman"/>
          <w:sz w:val="18"/>
          <w:szCs w:val="18"/>
        </w:rPr>
        <w:t>sertolizumab</w:t>
      </w:r>
      <w:proofErr w:type="spellEnd"/>
      <w:r w:rsidRPr="008C4AFC">
        <w:rPr>
          <w:rFonts w:ascii="Times New Roman" w:eastAsia="Times New Roman" w:hAnsi="Times New Roman" w:cs="Times New Roman"/>
          <w:sz w:val="18"/>
          <w:szCs w:val="18"/>
        </w:rPr>
        <w:t xml:space="preserve"> için 1,2</w:t>
      </w:r>
      <w:proofErr w:type="gramStart"/>
      <w:r w:rsidRPr="008C4AFC">
        <w:rPr>
          <w:rFonts w:ascii="Times New Roman" w:eastAsia="Times New Roman" w:hAnsi="Times New Roman" w:cs="Times New Roman"/>
          <w:sz w:val="18"/>
          <w:szCs w:val="18"/>
        </w:rPr>
        <w:t>)  puandan</w:t>
      </w:r>
      <w:proofErr w:type="gramEnd"/>
      <w:r w:rsidRPr="008C4AFC">
        <w:rPr>
          <w:rFonts w:ascii="Times New Roman" w:eastAsia="Times New Roman" w:hAnsi="Times New Roman" w:cs="Times New Roman"/>
          <w:sz w:val="18"/>
          <w:szCs w:val="18"/>
        </w:rPr>
        <w:t xml:space="preserve"> fazla düşme </w:t>
      </w:r>
      <w:r w:rsidRPr="00A45727">
        <w:rPr>
          <w:rFonts w:ascii="Times New Roman" w:eastAsia="Times New Roman" w:hAnsi="Times New Roman" w:cs="Times New Roman"/>
          <w:sz w:val="18"/>
          <w:szCs w:val="18"/>
        </w:rPr>
        <w:t xml:space="preserve">olması </w:t>
      </w:r>
      <w:bookmarkStart w:id="1" w:name="_Hlk228452482"/>
      <w:r w:rsidRPr="00A45727">
        <w:rPr>
          <w:rFonts w:ascii="Times New Roman" w:eastAsia="Times New Roman" w:hAnsi="Times New Roman" w:cs="Times New Roman"/>
          <w:sz w:val="18"/>
          <w:szCs w:val="18"/>
        </w:rPr>
        <w:t>halinde</w:t>
      </w:r>
      <w:bookmarkEnd w:id="1"/>
      <w:r w:rsidRPr="00A45727">
        <w:rPr>
          <w:rFonts w:ascii="Times New Roman" w:eastAsia="Times New Roman" w:hAnsi="Times New Roman" w:cs="Times New Roman"/>
          <w:sz w:val="18"/>
          <w:szCs w:val="18"/>
        </w:rPr>
        <w:t xml:space="preserve">, bu durumun yeni düzenlenecek 3 ay </w:t>
      </w:r>
      <w:r w:rsidRPr="00A45727">
        <w:rPr>
          <w:rFonts w:ascii="Times New Roman" w:hAnsi="Times New Roman" w:cs="Times New Roman"/>
          <w:sz w:val="18"/>
          <w:szCs w:val="18"/>
        </w:rPr>
        <w:t>(</w:t>
      </w:r>
      <w:proofErr w:type="spellStart"/>
      <w:r w:rsidRPr="00A45727">
        <w:rPr>
          <w:rFonts w:ascii="Times New Roman" w:hAnsi="Times New Roman" w:cs="Times New Roman"/>
          <w:sz w:val="18"/>
          <w:szCs w:val="18"/>
        </w:rPr>
        <w:t>sertolizumab</w:t>
      </w:r>
      <w:proofErr w:type="spellEnd"/>
      <w:r w:rsidRPr="00A45727">
        <w:rPr>
          <w:rFonts w:ascii="Times New Roman" w:hAnsi="Times New Roman" w:cs="Times New Roman"/>
          <w:sz w:val="18"/>
          <w:szCs w:val="18"/>
        </w:rPr>
        <w:t xml:space="preserve"> için 6 ay)</w:t>
      </w:r>
      <w:r w:rsidRPr="00A45727">
        <w:rPr>
          <w:rFonts w:ascii="Times New Roman" w:eastAsia="Times New Roman" w:hAnsi="Times New Roman" w:cs="Times New Roman"/>
          <w:sz w:val="18"/>
          <w:szCs w:val="18"/>
        </w:rPr>
        <w:t xml:space="preserve"> süreli sağlık kurulu raporunda belirtilmesi koşulu ile 3 ay </w:t>
      </w:r>
      <w:r w:rsidRPr="00A45727">
        <w:rPr>
          <w:rFonts w:ascii="Times New Roman" w:hAnsi="Times New Roman" w:cs="Times New Roman"/>
          <w:sz w:val="18"/>
          <w:szCs w:val="18"/>
        </w:rPr>
        <w:t>(</w:t>
      </w:r>
      <w:proofErr w:type="spellStart"/>
      <w:r w:rsidRPr="00A45727">
        <w:rPr>
          <w:rFonts w:ascii="Times New Roman" w:hAnsi="Times New Roman" w:cs="Times New Roman"/>
          <w:sz w:val="18"/>
          <w:szCs w:val="18"/>
        </w:rPr>
        <w:t>sertolizumab</w:t>
      </w:r>
      <w:proofErr w:type="spellEnd"/>
      <w:r w:rsidRPr="00A45727">
        <w:rPr>
          <w:rFonts w:ascii="Times New Roman" w:hAnsi="Times New Roman" w:cs="Times New Roman"/>
          <w:sz w:val="18"/>
          <w:szCs w:val="18"/>
        </w:rPr>
        <w:t xml:space="preserve"> için 6 ay) </w:t>
      </w:r>
      <w:r w:rsidRPr="00A45727">
        <w:rPr>
          <w:rFonts w:ascii="Times New Roman" w:eastAsia="Times New Roman" w:hAnsi="Times New Roman" w:cs="Times New Roman"/>
          <w:sz w:val="18"/>
          <w:szCs w:val="18"/>
        </w:rPr>
        <w:t xml:space="preserve">daha tedaviye devam edilir. Bu rapor süresi sonunda DAS 28 skorunda toplam 1,2 puandan fazla düşme olması </w:t>
      </w:r>
      <w:bookmarkStart w:id="2" w:name="_Hlk228453503"/>
      <w:r w:rsidRPr="00A45727">
        <w:rPr>
          <w:rFonts w:ascii="Times New Roman" w:eastAsia="Times New Roman" w:hAnsi="Times New Roman" w:cs="Times New Roman"/>
          <w:sz w:val="18"/>
          <w:szCs w:val="18"/>
        </w:rPr>
        <w:t>halinde</w:t>
      </w:r>
      <w:bookmarkEnd w:id="2"/>
      <w:r w:rsidRPr="00A45727">
        <w:rPr>
          <w:rFonts w:ascii="Times New Roman" w:eastAsia="Times New Roman" w:hAnsi="Times New Roman" w:cs="Times New Roman"/>
          <w:sz w:val="18"/>
          <w:szCs w:val="18"/>
        </w:rPr>
        <w:t xml:space="preserv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 Bu hastaların ayrıca dirençli </w:t>
      </w:r>
      <w:proofErr w:type="spellStart"/>
      <w:r w:rsidRPr="00A45727">
        <w:rPr>
          <w:rFonts w:ascii="Times New Roman" w:eastAsia="Times New Roman" w:hAnsi="Times New Roman" w:cs="Times New Roman"/>
          <w:sz w:val="18"/>
          <w:szCs w:val="18"/>
        </w:rPr>
        <w:t>gastrointestinal</w:t>
      </w:r>
      <w:proofErr w:type="spellEnd"/>
      <w:r w:rsidRPr="00A45727">
        <w:rPr>
          <w:rFonts w:ascii="Times New Roman" w:eastAsia="Times New Roman" w:hAnsi="Times New Roman" w:cs="Times New Roman"/>
          <w:sz w:val="18"/>
          <w:szCs w:val="18"/>
        </w:rPr>
        <w:t xml:space="preserve"> tutulumunun veya Beden Kitle İndeksinin 35 ve üzerinde olduğunun raporda belirtilmesi halinde </w:t>
      </w:r>
      <w:proofErr w:type="spellStart"/>
      <w:r w:rsidRPr="00A45727">
        <w:rPr>
          <w:rFonts w:ascii="Times New Roman" w:eastAsia="Times New Roman" w:hAnsi="Times New Roman" w:cs="Times New Roman"/>
          <w:sz w:val="18"/>
          <w:szCs w:val="18"/>
        </w:rPr>
        <w:t>infliksimab</w:t>
      </w:r>
      <w:proofErr w:type="spellEnd"/>
      <w:r w:rsidRPr="00A45727">
        <w:rPr>
          <w:rFonts w:ascii="Times New Roman" w:eastAsia="Times New Roman" w:hAnsi="Times New Roman" w:cs="Times New Roman"/>
          <w:sz w:val="18"/>
          <w:szCs w:val="18"/>
        </w:rPr>
        <w:t xml:space="preserve"> kullanımı için daha önceden diğer anti-TNF ilaçlardan en az birini kullanmış ve cevap alınamamış olma kriteri aranmayacaktır. </w:t>
      </w:r>
      <w:r w:rsidRPr="00A45727">
        <w:rPr>
          <w:rFonts w:ascii="Times New Roman" w:hAnsi="Times New Roman" w:cs="Times New Roman"/>
          <w:sz w:val="18"/>
          <w:szCs w:val="18"/>
        </w:rPr>
        <w:t xml:space="preserve">Gebelik varlığının raporda belirtilmesi </w:t>
      </w:r>
      <w:r w:rsidRPr="00A45727">
        <w:rPr>
          <w:rFonts w:ascii="Times New Roman" w:eastAsia="Times New Roman" w:hAnsi="Times New Roman" w:cs="Times New Roman"/>
          <w:sz w:val="18"/>
          <w:szCs w:val="18"/>
        </w:rPr>
        <w:t>halinde</w:t>
      </w:r>
      <w:r w:rsidRPr="00A45727">
        <w:rPr>
          <w:rFonts w:ascii="Times New Roman" w:hAnsi="Times New Roman" w:cs="Times New Roman"/>
          <w:sz w:val="18"/>
          <w:szCs w:val="18"/>
        </w:rPr>
        <w:t xml:space="preserve"> </w:t>
      </w:r>
      <w:proofErr w:type="spellStart"/>
      <w:r w:rsidRPr="00A45727">
        <w:rPr>
          <w:rFonts w:ascii="Times New Roman" w:hAnsi="Times New Roman" w:cs="Times New Roman"/>
          <w:sz w:val="18"/>
          <w:szCs w:val="18"/>
        </w:rPr>
        <w:t>sertolizumab</w:t>
      </w:r>
      <w:proofErr w:type="spellEnd"/>
      <w:r w:rsidRPr="00A45727">
        <w:rPr>
          <w:rFonts w:ascii="Times New Roman" w:hAnsi="Times New Roman" w:cs="Times New Roman"/>
          <w:sz w:val="18"/>
          <w:szCs w:val="18"/>
        </w:rPr>
        <w:t xml:space="preserve"> kullanımı için</w:t>
      </w:r>
      <w:r w:rsidRPr="008C4AFC">
        <w:rPr>
          <w:rFonts w:ascii="Times New Roman" w:hAnsi="Times New Roman" w:cs="Times New Roman"/>
          <w:sz w:val="18"/>
          <w:szCs w:val="18"/>
        </w:rPr>
        <w:t xml:space="preserve"> daha önceden diğer anti-TNF ilaçlardan en az birini kullanmış ve cevap alınamamış olması kriteri </w:t>
      </w:r>
      <w:r w:rsidRPr="003A03BC">
        <w:rPr>
          <w:rFonts w:ascii="Times New Roman" w:hAnsi="Times New Roman" w:cs="Times New Roman"/>
          <w:sz w:val="18"/>
          <w:szCs w:val="18"/>
        </w:rPr>
        <w:t>aranmayacaktır. Bu düzenlemenin yürürlük tarihi öncesi ilaca başlamış hastaların yukarıdaki devam şartlarını sağlaması durumunda bedelleri Kurumca</w:t>
      </w:r>
      <w:r w:rsidRPr="008C4AFC">
        <w:rPr>
          <w:rFonts w:ascii="Times New Roman" w:hAnsi="Times New Roman" w:cs="Times New Roman"/>
          <w:sz w:val="18"/>
          <w:szCs w:val="18"/>
        </w:rPr>
        <w:t xml:space="preserve"> karşılanır.</w:t>
      </w:r>
      <w:r w:rsidRPr="00BB5510">
        <w:rPr>
          <w:rFonts w:ascii="Times New Roman" w:hAnsi="Times New Roman" w:cs="Times New Roman"/>
          <w:sz w:val="18"/>
          <w:szCs w:val="18"/>
        </w:rPr>
        <w:t>”</w:t>
      </w:r>
    </w:p>
    <w:p w14:paraId="600388B0" w14:textId="77777777" w:rsidR="007D55B5" w:rsidRDefault="007D55B5" w:rsidP="007D55B5">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b/>
        <w:t xml:space="preserve">b) </w:t>
      </w:r>
      <w:r w:rsidRPr="00A25CE7">
        <w:rPr>
          <w:rFonts w:ascii="Times New Roman" w:eastAsia="Times New Roman" w:hAnsi="Times New Roman" w:cs="Times New Roman"/>
          <w:sz w:val="18"/>
          <w:szCs w:val="18"/>
        </w:rPr>
        <w:t>İkinci fıkrası</w:t>
      </w:r>
      <w:r>
        <w:rPr>
          <w:rFonts w:ascii="Times New Roman" w:eastAsia="Times New Roman" w:hAnsi="Times New Roman" w:cs="Times New Roman"/>
          <w:sz w:val="18"/>
          <w:szCs w:val="18"/>
        </w:rPr>
        <w:t>nda yer alan “</w:t>
      </w:r>
      <w:r w:rsidRPr="006A1F67">
        <w:rPr>
          <w:rFonts w:ascii="Times New Roman" w:eastAsia="Times New Roman" w:hAnsi="Times New Roman" w:cs="Times New Roman"/>
          <w:sz w:val="18"/>
          <w:szCs w:val="18"/>
        </w:rPr>
        <w:t xml:space="preserve">biri maksimum doz </w:t>
      </w:r>
      <w:proofErr w:type="spellStart"/>
      <w:r w:rsidRPr="006A1F67">
        <w:rPr>
          <w:rFonts w:ascii="Times New Roman" w:eastAsia="Times New Roman" w:hAnsi="Times New Roman" w:cs="Times New Roman"/>
          <w:sz w:val="18"/>
          <w:szCs w:val="18"/>
        </w:rPr>
        <w:t>indometazin</w:t>
      </w:r>
      <w:proofErr w:type="spellEnd"/>
      <w:r w:rsidRPr="006A1F67">
        <w:rPr>
          <w:rFonts w:ascii="Times New Roman" w:eastAsia="Times New Roman" w:hAnsi="Times New Roman" w:cs="Times New Roman"/>
          <w:sz w:val="18"/>
          <w:szCs w:val="18"/>
        </w:rPr>
        <w:t xml:space="preserve"> olmak üzere</w:t>
      </w:r>
      <w:r>
        <w:rPr>
          <w:rFonts w:ascii="Times New Roman" w:eastAsia="Times New Roman" w:hAnsi="Times New Roman" w:cs="Times New Roman"/>
          <w:sz w:val="18"/>
          <w:szCs w:val="18"/>
        </w:rPr>
        <w:t xml:space="preserve">” ibaresi yürürlükten kaldırılmış ve aynı fıkranın </w:t>
      </w:r>
      <w:r w:rsidRPr="006A1F67">
        <w:rPr>
          <w:rFonts w:ascii="Times New Roman" w:eastAsia="Times New Roman" w:hAnsi="Times New Roman" w:cs="Times New Roman"/>
          <w:sz w:val="18"/>
          <w:szCs w:val="18"/>
        </w:rPr>
        <w:t xml:space="preserve">(a) </w:t>
      </w:r>
      <w:r>
        <w:rPr>
          <w:rFonts w:ascii="Times New Roman" w:eastAsia="Times New Roman" w:hAnsi="Times New Roman" w:cs="Times New Roman"/>
          <w:sz w:val="18"/>
          <w:szCs w:val="18"/>
        </w:rPr>
        <w:t>bendi aşağıdaki şekilde değiştirilmiştir.</w:t>
      </w:r>
    </w:p>
    <w:p w14:paraId="029FB590" w14:textId="77777777" w:rsidR="007D55B5" w:rsidRPr="00A25CE7" w:rsidRDefault="007D55B5" w:rsidP="007D55B5">
      <w:pPr>
        <w:pStyle w:val="numbered1"/>
        <w:spacing w:before="0" w:beforeAutospacing="0" w:after="0" w:afterAutospacing="0"/>
        <w:ind w:firstLine="709"/>
        <w:jc w:val="both"/>
        <w:outlineLvl w:val="4"/>
        <w:rPr>
          <w:sz w:val="18"/>
          <w:szCs w:val="18"/>
        </w:rPr>
      </w:pPr>
      <w:r w:rsidRPr="00D17EF3">
        <w:rPr>
          <w:sz w:val="18"/>
          <w:szCs w:val="18"/>
        </w:rPr>
        <w:t>“</w:t>
      </w:r>
      <w:proofErr w:type="gramStart"/>
      <w:r w:rsidRPr="00D17EF3">
        <w:rPr>
          <w:sz w:val="18"/>
          <w:szCs w:val="18"/>
        </w:rPr>
        <w:t>a</w:t>
      </w:r>
      <w:proofErr w:type="gramEnd"/>
      <w:r w:rsidRPr="00D17EF3">
        <w:rPr>
          <w:sz w:val="18"/>
          <w:szCs w:val="18"/>
        </w:rPr>
        <w:t xml:space="preserve">) </w:t>
      </w:r>
      <w:proofErr w:type="spellStart"/>
      <w:r w:rsidRPr="00D17EF3">
        <w:rPr>
          <w:sz w:val="18"/>
          <w:szCs w:val="18"/>
        </w:rPr>
        <w:t>İnfliksimab</w:t>
      </w:r>
      <w:proofErr w:type="spellEnd"/>
      <w:r w:rsidRPr="00D17EF3">
        <w:rPr>
          <w:sz w:val="18"/>
          <w:szCs w:val="18"/>
        </w:rPr>
        <w:t xml:space="preserve">, </w:t>
      </w:r>
      <w:proofErr w:type="spellStart"/>
      <w:r w:rsidRPr="00D17EF3">
        <w:rPr>
          <w:sz w:val="18"/>
          <w:szCs w:val="18"/>
        </w:rPr>
        <w:t>sertolizumab</w:t>
      </w:r>
      <w:proofErr w:type="spellEnd"/>
      <w:r w:rsidRPr="00D17EF3">
        <w:rPr>
          <w:sz w:val="18"/>
          <w:szCs w:val="18"/>
        </w:rPr>
        <w:t xml:space="preserve"> ve </w:t>
      </w:r>
      <w:proofErr w:type="spellStart"/>
      <w:r w:rsidRPr="00D17EF3">
        <w:rPr>
          <w:sz w:val="18"/>
          <w:szCs w:val="18"/>
        </w:rPr>
        <w:t>golimumab</w:t>
      </w:r>
      <w:proofErr w:type="spellEnd"/>
      <w:r w:rsidRPr="00D17EF3">
        <w:rPr>
          <w:sz w:val="18"/>
          <w:szCs w:val="18"/>
        </w:rPr>
        <w:t xml:space="preserve"> etkin maddeli ilaçlara</w:t>
      </w:r>
      <w:r>
        <w:rPr>
          <w:sz w:val="18"/>
          <w:szCs w:val="18"/>
        </w:rPr>
        <w:t>,</w:t>
      </w:r>
      <w:r w:rsidRPr="00D17EF3">
        <w:rPr>
          <w:sz w:val="18"/>
          <w:szCs w:val="18"/>
        </w:rPr>
        <w:t xml:space="preserve"> yukarıda belirtilen koşullarda ve sürelerde diğer anti-TNF ilaçlardan en az birini kullanmış ve cevap alınamamış hastalarda, bu durumun 3 ay süreli sağlık kurulu raporunda belirtilmesi koşulu ile başlanır. İlacın etkinliği, ilaca başlandıktan 3 ay sonra değerlendirilir. Yeterli cevap alınamamışsa (</w:t>
      </w:r>
      <w:proofErr w:type="spellStart"/>
      <w:r w:rsidRPr="00D17EF3">
        <w:rPr>
          <w:sz w:val="18"/>
          <w:szCs w:val="18"/>
        </w:rPr>
        <w:t>BASDAİ’de</w:t>
      </w:r>
      <w:proofErr w:type="spellEnd"/>
      <w:r w:rsidRPr="00D17EF3">
        <w:rPr>
          <w:sz w:val="18"/>
          <w:szCs w:val="18"/>
        </w:rPr>
        <w:t xml:space="preserve"> 2 birimden daha az düzelme olması), ilaca devam edilmesi durumunda ilaç bedeli ödenmez. Tedaviye cevap alınmış ve ilaca devam edilecek ise bu durum 6 ay süreli yeni düzenlenecek sağlık kurulu raporunda belirtilir. Bu hastaların ayrıca dirençli </w:t>
      </w:r>
      <w:proofErr w:type="spellStart"/>
      <w:r w:rsidRPr="00D17EF3">
        <w:rPr>
          <w:sz w:val="18"/>
          <w:szCs w:val="18"/>
        </w:rPr>
        <w:t>gastrointestinal</w:t>
      </w:r>
      <w:proofErr w:type="spellEnd"/>
      <w:r w:rsidRPr="00D17EF3">
        <w:rPr>
          <w:sz w:val="18"/>
          <w:szCs w:val="18"/>
        </w:rPr>
        <w:t xml:space="preserve"> tutulumunun veya Beden Kitle İndeksinin 35 ve üzerinde olduğunun raporda belirtilmesi halinde </w:t>
      </w:r>
      <w:proofErr w:type="spellStart"/>
      <w:r w:rsidRPr="00D17EF3">
        <w:rPr>
          <w:sz w:val="18"/>
          <w:szCs w:val="18"/>
        </w:rPr>
        <w:t>infliksimab</w:t>
      </w:r>
      <w:proofErr w:type="spellEnd"/>
      <w:r w:rsidRPr="00D17EF3">
        <w:rPr>
          <w:sz w:val="18"/>
          <w:szCs w:val="18"/>
        </w:rPr>
        <w:t xml:space="preserve"> kullanımı için daha önceden diğer anti-TNF ilaçlardan en az birini kullanmış ve cevap alınamamış olma kriteri aranmayacaktır. Gebelik </w:t>
      </w:r>
      <w:r w:rsidRPr="00B33149">
        <w:rPr>
          <w:sz w:val="18"/>
          <w:szCs w:val="18"/>
        </w:rPr>
        <w:t xml:space="preserve">varlığının raporda belirtilmesi halinde </w:t>
      </w:r>
      <w:proofErr w:type="spellStart"/>
      <w:r w:rsidRPr="00B33149">
        <w:rPr>
          <w:sz w:val="18"/>
          <w:szCs w:val="18"/>
        </w:rPr>
        <w:t>sertolizumab</w:t>
      </w:r>
      <w:proofErr w:type="spellEnd"/>
      <w:r w:rsidRPr="00B33149">
        <w:rPr>
          <w:sz w:val="18"/>
          <w:szCs w:val="18"/>
        </w:rPr>
        <w:t xml:space="preserve"> kullanımı için daha önceden diğe</w:t>
      </w:r>
      <w:r w:rsidRPr="00A25CE7">
        <w:rPr>
          <w:sz w:val="18"/>
          <w:szCs w:val="18"/>
        </w:rPr>
        <w:t xml:space="preserve">r anti-TNF ilaçlardan en az birini kullanmış ve cevap alınamamış olması kriteri aranmayacaktır. Bu düzenlemenin yürürlük tarihi öncesi ilaca başlamış hastaların yukarıdaki devam şartlarını sağlaması </w:t>
      </w:r>
      <w:r w:rsidRPr="003A03BC">
        <w:rPr>
          <w:sz w:val="18"/>
          <w:szCs w:val="18"/>
        </w:rPr>
        <w:t>durumunda bedelleri Kurumca</w:t>
      </w:r>
      <w:r w:rsidRPr="00A25CE7">
        <w:rPr>
          <w:sz w:val="18"/>
          <w:szCs w:val="18"/>
        </w:rPr>
        <w:t xml:space="preserve"> karşılanır.”</w:t>
      </w:r>
    </w:p>
    <w:p w14:paraId="4404FED3" w14:textId="77777777" w:rsidR="007D55B5" w:rsidRDefault="007D55B5" w:rsidP="007D55B5">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b/>
        <w:t>c</w:t>
      </w:r>
      <w:r w:rsidRPr="00A25CE7">
        <w:rPr>
          <w:rFonts w:ascii="Times New Roman" w:eastAsia="Times New Roman" w:hAnsi="Times New Roman" w:cs="Times New Roman"/>
          <w:sz w:val="18"/>
          <w:szCs w:val="18"/>
        </w:rPr>
        <w:t xml:space="preserve">) Üçüncü fıkrasının </w:t>
      </w:r>
      <w:r w:rsidRPr="006A1F67">
        <w:rPr>
          <w:rFonts w:ascii="Times New Roman" w:eastAsia="Times New Roman" w:hAnsi="Times New Roman" w:cs="Times New Roman"/>
          <w:sz w:val="18"/>
          <w:szCs w:val="18"/>
        </w:rPr>
        <w:t>(a) bendi</w:t>
      </w:r>
      <w:r>
        <w:rPr>
          <w:rFonts w:ascii="Times New Roman" w:eastAsia="Times New Roman" w:hAnsi="Times New Roman" w:cs="Times New Roman"/>
          <w:sz w:val="18"/>
          <w:szCs w:val="18"/>
        </w:rPr>
        <w:t xml:space="preserve"> aşağıdaki şekilde değiştirilmiştir.</w:t>
      </w:r>
    </w:p>
    <w:p w14:paraId="0EB0B043" w14:textId="77777777" w:rsidR="007D55B5" w:rsidRDefault="007D55B5" w:rsidP="007D55B5">
      <w:pPr>
        <w:pStyle w:val="numbered1"/>
        <w:spacing w:before="0" w:beforeAutospacing="0" w:after="0" w:afterAutospacing="0"/>
        <w:ind w:firstLine="709"/>
        <w:jc w:val="both"/>
        <w:outlineLvl w:val="4"/>
        <w:rPr>
          <w:sz w:val="18"/>
          <w:szCs w:val="18"/>
        </w:rPr>
      </w:pPr>
      <w:r w:rsidRPr="00D17EF3">
        <w:rPr>
          <w:sz w:val="18"/>
          <w:szCs w:val="18"/>
        </w:rPr>
        <w:t>“</w:t>
      </w:r>
      <w:proofErr w:type="gramStart"/>
      <w:r w:rsidRPr="00D17EF3">
        <w:rPr>
          <w:sz w:val="18"/>
          <w:szCs w:val="18"/>
        </w:rPr>
        <w:t>a</w:t>
      </w:r>
      <w:proofErr w:type="gramEnd"/>
      <w:r w:rsidRPr="00D17EF3">
        <w:rPr>
          <w:sz w:val="18"/>
          <w:szCs w:val="18"/>
        </w:rPr>
        <w:t xml:space="preserve">) </w:t>
      </w:r>
      <w:proofErr w:type="spellStart"/>
      <w:r w:rsidRPr="00D17EF3">
        <w:rPr>
          <w:sz w:val="18"/>
          <w:szCs w:val="18"/>
        </w:rPr>
        <w:t>İnfliksimab</w:t>
      </w:r>
      <w:proofErr w:type="spellEnd"/>
      <w:r w:rsidRPr="00D17EF3">
        <w:rPr>
          <w:sz w:val="18"/>
          <w:szCs w:val="18"/>
        </w:rPr>
        <w:t xml:space="preserve">, </w:t>
      </w:r>
      <w:proofErr w:type="spellStart"/>
      <w:r w:rsidRPr="00D17EF3">
        <w:rPr>
          <w:sz w:val="18"/>
          <w:szCs w:val="18"/>
        </w:rPr>
        <w:t>sertolizumab</w:t>
      </w:r>
      <w:proofErr w:type="spellEnd"/>
      <w:r w:rsidRPr="00D17EF3">
        <w:rPr>
          <w:sz w:val="18"/>
          <w:szCs w:val="18"/>
        </w:rPr>
        <w:t xml:space="preserve"> ve </w:t>
      </w:r>
      <w:proofErr w:type="spellStart"/>
      <w:r w:rsidRPr="00D17EF3">
        <w:rPr>
          <w:sz w:val="18"/>
          <w:szCs w:val="18"/>
        </w:rPr>
        <w:t>golimumab</w:t>
      </w:r>
      <w:proofErr w:type="spellEnd"/>
      <w:r w:rsidRPr="00D17EF3">
        <w:rPr>
          <w:sz w:val="18"/>
          <w:szCs w:val="18"/>
        </w:rPr>
        <w:t xml:space="preserve"> etkin maddeli ilaçlara</w:t>
      </w:r>
      <w:r>
        <w:rPr>
          <w:sz w:val="18"/>
          <w:szCs w:val="18"/>
        </w:rPr>
        <w:t>,</w:t>
      </w:r>
      <w:r w:rsidRPr="00D17EF3">
        <w:rPr>
          <w:sz w:val="18"/>
          <w:szCs w:val="18"/>
        </w:rPr>
        <w:t xml:space="preserve"> yukarıda belirtilen koşullarda ve sürelerde diğer anti-TNF ilaçlardan en az birini kullanmış ve cevap alınamamış hastalarda, bu durumun 3 ay süreli sağlık kurulu raporunda belirtilmesi koşulu ile başlanır. İlacın etkinliği, ilaca başlandıktan 3 ay sonra değerlendirilir. Yeterli cevap alınamamışsa (</w:t>
      </w:r>
      <w:proofErr w:type="spellStart"/>
      <w:r w:rsidRPr="00D17EF3">
        <w:rPr>
          <w:sz w:val="18"/>
          <w:szCs w:val="18"/>
        </w:rPr>
        <w:t>BASDAİ’de</w:t>
      </w:r>
      <w:proofErr w:type="spellEnd"/>
      <w:r w:rsidRPr="00D17EF3">
        <w:rPr>
          <w:sz w:val="18"/>
          <w:szCs w:val="18"/>
        </w:rPr>
        <w:t xml:space="preserve"> 2 birimden daha az düzelme olması), ilaca devam edilmesi durumunda ilaç bedeli ödenmez. Tedaviye cevap alınmış ve ilaca devam edilecek ise bu durum 6 ay süreli yeni düzenlenecek sağlık kurulu raporunda belirtilir. Bu hastaların ayrıca dirençli </w:t>
      </w:r>
      <w:proofErr w:type="spellStart"/>
      <w:r w:rsidRPr="00D17EF3">
        <w:rPr>
          <w:sz w:val="18"/>
          <w:szCs w:val="18"/>
        </w:rPr>
        <w:t>gastrointestinal</w:t>
      </w:r>
      <w:proofErr w:type="spellEnd"/>
      <w:r w:rsidRPr="00D17EF3">
        <w:rPr>
          <w:sz w:val="18"/>
          <w:szCs w:val="18"/>
        </w:rPr>
        <w:t xml:space="preserve"> tutulumunun veya Beden Kitle İndeksinin 35 ve üzerinde olduğunun raporda belirtilmesi halinde </w:t>
      </w:r>
      <w:proofErr w:type="spellStart"/>
      <w:r w:rsidRPr="00D17EF3">
        <w:rPr>
          <w:sz w:val="18"/>
          <w:szCs w:val="18"/>
        </w:rPr>
        <w:t>infliksimab</w:t>
      </w:r>
      <w:proofErr w:type="spellEnd"/>
      <w:r w:rsidRPr="00D17EF3">
        <w:rPr>
          <w:sz w:val="18"/>
          <w:szCs w:val="18"/>
        </w:rPr>
        <w:t xml:space="preserve"> kullanımı için daha önceden diğer anti-TNF ilaçlardan en az birini kullanmış ve cevap alınamamış olma kriteri aranmayacaktır. Gebelik varlığının raporda </w:t>
      </w:r>
      <w:r w:rsidRPr="00B33149">
        <w:rPr>
          <w:sz w:val="18"/>
          <w:szCs w:val="18"/>
        </w:rPr>
        <w:t xml:space="preserve">belirtilmesi halinde </w:t>
      </w:r>
      <w:proofErr w:type="spellStart"/>
      <w:r w:rsidRPr="00B33149">
        <w:rPr>
          <w:sz w:val="18"/>
          <w:szCs w:val="18"/>
        </w:rPr>
        <w:t>sertolizumab</w:t>
      </w:r>
      <w:proofErr w:type="spellEnd"/>
      <w:r w:rsidRPr="00B33149">
        <w:rPr>
          <w:sz w:val="18"/>
          <w:szCs w:val="18"/>
        </w:rPr>
        <w:t xml:space="preserve"> kullanımı için daha önceden diğer</w:t>
      </w:r>
      <w:r w:rsidRPr="00A25CE7">
        <w:rPr>
          <w:sz w:val="18"/>
          <w:szCs w:val="18"/>
        </w:rPr>
        <w:t xml:space="preserve"> anti-TNF ilaçlardan en az birini kullanmış ve cevap alınamamış olması kriteri aranmayacaktır. Bu düzenlemenin yürürlük tarihi öncesi ilaca başlamış hastaların yukarıdaki devam şartlarını sağlaması </w:t>
      </w:r>
      <w:r w:rsidRPr="003A03BC">
        <w:rPr>
          <w:sz w:val="18"/>
          <w:szCs w:val="18"/>
        </w:rPr>
        <w:t>durumunda bedelleri Kurumca</w:t>
      </w:r>
      <w:r w:rsidRPr="00A25CE7">
        <w:rPr>
          <w:sz w:val="18"/>
          <w:szCs w:val="18"/>
        </w:rPr>
        <w:t xml:space="preserve"> karşılanır.”</w:t>
      </w:r>
    </w:p>
    <w:p w14:paraId="2B66A906" w14:textId="77777777" w:rsidR="007D55B5" w:rsidRPr="00E87801" w:rsidRDefault="007D55B5" w:rsidP="007D55B5">
      <w:pPr>
        <w:tabs>
          <w:tab w:val="left" w:pos="709"/>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b/>
      </w:r>
      <w:proofErr w:type="gramStart"/>
      <w:r w:rsidRPr="00E87801">
        <w:rPr>
          <w:rFonts w:ascii="Times New Roman" w:eastAsia="Times New Roman" w:hAnsi="Times New Roman" w:cs="Times New Roman"/>
          <w:sz w:val="18"/>
          <w:szCs w:val="18"/>
        </w:rPr>
        <w:t>ç</w:t>
      </w:r>
      <w:proofErr w:type="gramEnd"/>
      <w:r w:rsidRPr="00E87801">
        <w:rPr>
          <w:rFonts w:ascii="Times New Roman" w:eastAsia="Times New Roman" w:hAnsi="Times New Roman" w:cs="Times New Roman"/>
          <w:sz w:val="18"/>
          <w:szCs w:val="18"/>
        </w:rPr>
        <w:t>) Beşinci fıkrasının (a) bendi aşağıdaki şekilde değiştirilmiştir.</w:t>
      </w:r>
    </w:p>
    <w:p w14:paraId="1C6F04E1" w14:textId="77777777" w:rsidR="007D55B5" w:rsidRDefault="007D55B5" w:rsidP="007D55B5">
      <w:pPr>
        <w:pStyle w:val="numbered1"/>
        <w:spacing w:before="0" w:beforeAutospacing="0" w:after="0" w:afterAutospacing="0"/>
        <w:ind w:firstLine="709"/>
        <w:jc w:val="both"/>
        <w:outlineLvl w:val="4"/>
        <w:rPr>
          <w:sz w:val="18"/>
          <w:szCs w:val="18"/>
        </w:rPr>
      </w:pPr>
      <w:r w:rsidRPr="00E87801">
        <w:rPr>
          <w:sz w:val="18"/>
          <w:szCs w:val="18"/>
        </w:rPr>
        <w:t>“</w:t>
      </w:r>
      <w:proofErr w:type="gramStart"/>
      <w:r w:rsidRPr="00E87801">
        <w:rPr>
          <w:sz w:val="18"/>
          <w:szCs w:val="18"/>
        </w:rPr>
        <w:t>a</w:t>
      </w:r>
      <w:proofErr w:type="gramEnd"/>
      <w:r w:rsidRPr="00E87801">
        <w:rPr>
          <w:sz w:val="18"/>
          <w:szCs w:val="18"/>
        </w:rPr>
        <w:t xml:space="preserve">) </w:t>
      </w:r>
      <w:proofErr w:type="spellStart"/>
      <w:r w:rsidRPr="00E87801">
        <w:rPr>
          <w:sz w:val="18"/>
          <w:szCs w:val="18"/>
        </w:rPr>
        <w:t>İnfliksimab</w:t>
      </w:r>
      <w:proofErr w:type="spellEnd"/>
      <w:r w:rsidRPr="00E87801">
        <w:rPr>
          <w:sz w:val="18"/>
          <w:szCs w:val="18"/>
        </w:rPr>
        <w:t xml:space="preserve">, </w:t>
      </w:r>
      <w:proofErr w:type="spellStart"/>
      <w:r w:rsidRPr="00E87801">
        <w:rPr>
          <w:sz w:val="18"/>
          <w:szCs w:val="18"/>
        </w:rPr>
        <w:t>sertolizumab</w:t>
      </w:r>
      <w:proofErr w:type="spellEnd"/>
      <w:r w:rsidRPr="00E87801">
        <w:rPr>
          <w:sz w:val="18"/>
          <w:szCs w:val="18"/>
        </w:rPr>
        <w:t xml:space="preserve"> ve </w:t>
      </w:r>
      <w:proofErr w:type="spellStart"/>
      <w:r w:rsidRPr="00E87801">
        <w:rPr>
          <w:sz w:val="18"/>
          <w:szCs w:val="18"/>
        </w:rPr>
        <w:t>golimumab</w:t>
      </w:r>
      <w:proofErr w:type="spellEnd"/>
      <w:r w:rsidRPr="00E87801">
        <w:rPr>
          <w:sz w:val="18"/>
          <w:szCs w:val="18"/>
        </w:rPr>
        <w:t xml:space="preserve"> etkin maddeli ilaçlara</w:t>
      </w:r>
      <w:r>
        <w:rPr>
          <w:sz w:val="18"/>
          <w:szCs w:val="18"/>
        </w:rPr>
        <w:t>,</w:t>
      </w:r>
      <w:r w:rsidRPr="00E87801">
        <w:rPr>
          <w:sz w:val="18"/>
          <w:szCs w:val="18"/>
        </w:rPr>
        <w:t xml:space="preserve"> yukarıda belirtilen koşullarda ve sürelerde diğer anti-TNF ilaçlardan en az birini kullanmış ve cevap alınamamış hastalarda, bu durumun sağlık kurulu raporunda belirtilmesi koşulu ile başlanır. İlacın etkinliği, ilaca başlandıktan 3 ay sonra değerlendirilir. Yeterli cevap alınamamış olması halinde (</w:t>
      </w:r>
      <w:proofErr w:type="spellStart"/>
      <w:r w:rsidRPr="00E87801">
        <w:rPr>
          <w:sz w:val="18"/>
          <w:szCs w:val="18"/>
        </w:rPr>
        <w:t>psöriyatik</w:t>
      </w:r>
      <w:proofErr w:type="spellEnd"/>
      <w:r w:rsidRPr="00E87801">
        <w:rPr>
          <w:sz w:val="18"/>
          <w:szCs w:val="18"/>
        </w:rPr>
        <w:t xml:space="preserve"> artrit yanıt kriterlerine (PSARC) göre yanıt alınamaması) tedavi sonlandırılır. Tedaviye cevap alınmış ve ilaca devam edilecek ise bu durum 6 ay süreli yeni düzenlenecek sağlık kurulu raporunda belirtilir. Bu hastaların ayrıca dirençli </w:t>
      </w:r>
      <w:proofErr w:type="spellStart"/>
      <w:r w:rsidRPr="00E87801">
        <w:rPr>
          <w:sz w:val="18"/>
          <w:szCs w:val="18"/>
        </w:rPr>
        <w:t>gastrointestinal</w:t>
      </w:r>
      <w:proofErr w:type="spellEnd"/>
      <w:r w:rsidRPr="00E87801">
        <w:rPr>
          <w:sz w:val="18"/>
          <w:szCs w:val="18"/>
        </w:rPr>
        <w:t xml:space="preserve"> tutulumunun veya Beden Kitle İndeksinin 35 ve üzerinde olduğunun raporda belirtilmesi halinde </w:t>
      </w:r>
      <w:proofErr w:type="spellStart"/>
      <w:r w:rsidRPr="00E87801">
        <w:rPr>
          <w:sz w:val="18"/>
          <w:szCs w:val="18"/>
        </w:rPr>
        <w:t>infliksimab</w:t>
      </w:r>
      <w:proofErr w:type="spellEnd"/>
      <w:r w:rsidRPr="00E87801">
        <w:rPr>
          <w:sz w:val="18"/>
          <w:szCs w:val="18"/>
        </w:rPr>
        <w:t xml:space="preserve"> kullanımı için daha önceden diğer anti-TNF ilaçlardan en az birini kullanmış ve cevap alınamamış olma kriteri aranmayacaktır. Gebelik varlığının raporda belirtilmesi halinde </w:t>
      </w:r>
      <w:proofErr w:type="spellStart"/>
      <w:r w:rsidRPr="00E87801">
        <w:rPr>
          <w:sz w:val="18"/>
          <w:szCs w:val="18"/>
        </w:rPr>
        <w:t>sertolizumab</w:t>
      </w:r>
      <w:proofErr w:type="spellEnd"/>
      <w:r w:rsidRPr="00E87801">
        <w:rPr>
          <w:sz w:val="18"/>
          <w:szCs w:val="18"/>
        </w:rPr>
        <w:t xml:space="preserve"> kullanımı için daha önceden diğer anti-TNF ilaçlardan en az birini kullanmış ve cevap alınamamış </w:t>
      </w:r>
      <w:r w:rsidRPr="00A25CE7">
        <w:rPr>
          <w:sz w:val="18"/>
          <w:szCs w:val="18"/>
        </w:rPr>
        <w:t xml:space="preserve">olması kriteri aranmayacaktır. Bu düzenlemenin yürürlük tarihi öncesi ilaca başlamış hastaların yukarıdaki devam şartlarını sağlaması </w:t>
      </w:r>
      <w:r w:rsidRPr="003A03BC">
        <w:rPr>
          <w:sz w:val="18"/>
          <w:szCs w:val="18"/>
        </w:rPr>
        <w:t>durumunda bedelleri Kurumca</w:t>
      </w:r>
      <w:r w:rsidRPr="00A25CE7">
        <w:rPr>
          <w:sz w:val="18"/>
          <w:szCs w:val="18"/>
        </w:rPr>
        <w:t xml:space="preserve"> karşılanır.”</w:t>
      </w:r>
    </w:p>
    <w:p w14:paraId="6A1AD9F8" w14:textId="77777777" w:rsidR="007D55B5" w:rsidRDefault="007D55B5" w:rsidP="00D2420E">
      <w:pPr>
        <w:spacing w:after="0" w:line="240" w:lineRule="auto"/>
        <w:jc w:val="both"/>
        <w:rPr>
          <w:rFonts w:ascii="Times New Roman" w:hAnsi="Times New Roman" w:cs="Times New Roman"/>
          <w:sz w:val="18"/>
          <w:szCs w:val="18"/>
        </w:rPr>
      </w:pPr>
      <w:r w:rsidRPr="00A25CE7">
        <w:tab/>
      </w:r>
      <w:r w:rsidRPr="00A25CE7">
        <w:rPr>
          <w:rFonts w:ascii="Times New Roman" w:hAnsi="Times New Roman" w:cs="Times New Roman"/>
          <w:b/>
          <w:bCs/>
          <w:sz w:val="18"/>
          <w:szCs w:val="18"/>
        </w:rPr>
        <w:t>MADDE 2</w:t>
      </w:r>
      <w:r w:rsidRPr="00A25CE7">
        <w:rPr>
          <w:rFonts w:ascii="Times New Roman" w:hAnsi="Times New Roman" w:cs="Times New Roman"/>
          <w:bCs/>
          <w:sz w:val="18"/>
          <w:szCs w:val="18"/>
        </w:rPr>
        <w:t>-</w:t>
      </w:r>
      <w:r w:rsidRPr="004A66FD">
        <w:rPr>
          <w:rFonts w:ascii="Times New Roman" w:hAnsi="Times New Roman" w:cs="Times New Roman"/>
          <w:bCs/>
          <w:sz w:val="18"/>
          <w:szCs w:val="18"/>
        </w:rPr>
        <w:t xml:space="preserve"> Aynı Tebliğin </w:t>
      </w:r>
      <w:r w:rsidRPr="00A25CE7">
        <w:rPr>
          <w:rFonts w:ascii="Times New Roman" w:hAnsi="Times New Roman" w:cs="Times New Roman"/>
          <w:sz w:val="18"/>
          <w:szCs w:val="18"/>
        </w:rPr>
        <w:t>4.2.8.A</w:t>
      </w:r>
      <w:r>
        <w:rPr>
          <w:rFonts w:ascii="Times New Roman" w:hAnsi="Times New Roman" w:cs="Times New Roman"/>
          <w:sz w:val="18"/>
          <w:szCs w:val="18"/>
        </w:rPr>
        <w:t xml:space="preserve"> numaralı </w:t>
      </w:r>
      <w:r w:rsidRPr="00A25CE7">
        <w:rPr>
          <w:rFonts w:ascii="Times New Roman" w:hAnsi="Times New Roman" w:cs="Times New Roman"/>
          <w:sz w:val="18"/>
          <w:szCs w:val="18"/>
        </w:rPr>
        <w:t xml:space="preserve">maddesinin birinci fıkrasının (a) bendine </w:t>
      </w:r>
      <w:r>
        <w:rPr>
          <w:rFonts w:ascii="Times New Roman" w:hAnsi="Times New Roman" w:cs="Times New Roman"/>
          <w:sz w:val="18"/>
          <w:szCs w:val="18"/>
        </w:rPr>
        <w:t>aşağıdaki alt bent eklenmiştir.</w:t>
      </w:r>
    </w:p>
    <w:p w14:paraId="2328DBB5" w14:textId="77777777" w:rsidR="007D55B5" w:rsidRDefault="007D55B5" w:rsidP="00D2420E">
      <w:pPr>
        <w:spacing w:after="0" w:line="240" w:lineRule="auto"/>
        <w:ind w:firstLine="708"/>
        <w:jc w:val="both"/>
        <w:rPr>
          <w:rFonts w:ascii="Times New Roman" w:hAnsi="Times New Roman" w:cs="Times New Roman"/>
          <w:sz w:val="18"/>
          <w:szCs w:val="18"/>
        </w:rPr>
      </w:pPr>
      <w:r w:rsidRPr="00A25CE7">
        <w:rPr>
          <w:rFonts w:ascii="Times New Roman" w:hAnsi="Times New Roman" w:cs="Times New Roman"/>
          <w:sz w:val="18"/>
          <w:szCs w:val="18"/>
        </w:rPr>
        <w:t>“3) 5 yaş üstü çocuklar için yaşa göre boyu (&lt; -2</w:t>
      </w:r>
      <w:r>
        <w:rPr>
          <w:rFonts w:ascii="Times New Roman" w:hAnsi="Times New Roman" w:cs="Times New Roman"/>
          <w:sz w:val="18"/>
          <w:szCs w:val="18"/>
        </w:rPr>
        <w:t xml:space="preserve"> </w:t>
      </w:r>
      <w:r w:rsidRPr="00A25CE7">
        <w:rPr>
          <w:rFonts w:ascii="Times New Roman" w:hAnsi="Times New Roman" w:cs="Times New Roman"/>
          <w:sz w:val="18"/>
          <w:szCs w:val="18"/>
        </w:rPr>
        <w:t>SD), yaşa göre ağırlık (&lt; -2</w:t>
      </w:r>
      <w:r>
        <w:rPr>
          <w:rFonts w:ascii="Times New Roman" w:hAnsi="Times New Roman" w:cs="Times New Roman"/>
          <w:sz w:val="18"/>
          <w:szCs w:val="18"/>
        </w:rPr>
        <w:t xml:space="preserve"> </w:t>
      </w:r>
      <w:r w:rsidRPr="00A25CE7">
        <w:rPr>
          <w:rFonts w:ascii="Times New Roman" w:hAnsi="Times New Roman" w:cs="Times New Roman"/>
          <w:sz w:val="18"/>
          <w:szCs w:val="18"/>
        </w:rPr>
        <w:t xml:space="preserve">SD),” </w:t>
      </w:r>
    </w:p>
    <w:p w14:paraId="718175B5" w14:textId="061ABB9E" w:rsidR="007D55B5" w:rsidRDefault="007D55B5" w:rsidP="00D2420E">
      <w:pPr>
        <w:spacing w:after="0" w:line="240" w:lineRule="auto"/>
        <w:jc w:val="both"/>
        <w:rPr>
          <w:rFonts w:ascii="Times New Roman" w:hAnsi="Times New Roman" w:cs="Times New Roman"/>
          <w:bCs/>
          <w:sz w:val="18"/>
          <w:szCs w:val="18"/>
        </w:rPr>
      </w:pPr>
      <w:r w:rsidRPr="00A25CE7">
        <w:tab/>
      </w:r>
      <w:r w:rsidRPr="00A25CE7">
        <w:rPr>
          <w:rFonts w:ascii="Times New Roman" w:hAnsi="Times New Roman" w:cs="Times New Roman"/>
          <w:b/>
          <w:bCs/>
          <w:sz w:val="18"/>
          <w:szCs w:val="18"/>
        </w:rPr>
        <w:t>MADDE 3-</w:t>
      </w:r>
      <w:r>
        <w:rPr>
          <w:rFonts w:ascii="Times New Roman" w:hAnsi="Times New Roman" w:cs="Times New Roman"/>
          <w:b/>
          <w:bCs/>
          <w:sz w:val="18"/>
          <w:szCs w:val="18"/>
        </w:rPr>
        <w:t xml:space="preserve"> </w:t>
      </w:r>
      <w:r w:rsidRPr="004A66FD">
        <w:rPr>
          <w:rFonts w:ascii="Times New Roman" w:hAnsi="Times New Roman" w:cs="Times New Roman"/>
          <w:bCs/>
          <w:sz w:val="18"/>
          <w:szCs w:val="18"/>
        </w:rPr>
        <w:t xml:space="preserve">Aynı Tebliğin </w:t>
      </w:r>
      <w:r w:rsidRPr="00A25CE7">
        <w:rPr>
          <w:rFonts w:ascii="Times New Roman" w:hAnsi="Times New Roman" w:cs="Times New Roman"/>
          <w:bCs/>
          <w:sz w:val="18"/>
          <w:szCs w:val="18"/>
        </w:rPr>
        <w:t>4.2.12.B-1</w:t>
      </w:r>
      <w:r w:rsidR="00AB2514">
        <w:rPr>
          <w:rFonts w:ascii="Times New Roman" w:hAnsi="Times New Roman" w:cs="Times New Roman"/>
          <w:bCs/>
          <w:sz w:val="18"/>
          <w:szCs w:val="18"/>
        </w:rPr>
        <w:t xml:space="preserve"> numaralı</w:t>
      </w:r>
      <w:r w:rsidRPr="00A25CE7">
        <w:rPr>
          <w:rFonts w:ascii="Times New Roman" w:hAnsi="Times New Roman" w:cs="Times New Roman"/>
          <w:bCs/>
          <w:sz w:val="18"/>
          <w:szCs w:val="18"/>
        </w:rPr>
        <w:t xml:space="preserve"> maddesinin birinci fıkrasında aşağıdaki düzenlemeler yapılmıştır.</w:t>
      </w:r>
    </w:p>
    <w:p w14:paraId="0E8DA17C" w14:textId="77777777" w:rsidR="007D55B5" w:rsidRDefault="007D55B5" w:rsidP="00D2420E">
      <w:pPr>
        <w:spacing w:after="0" w:line="240" w:lineRule="auto"/>
        <w:ind w:firstLine="708"/>
        <w:jc w:val="both"/>
        <w:rPr>
          <w:rFonts w:ascii="Times New Roman" w:hAnsi="Times New Roman" w:cs="Times New Roman"/>
          <w:sz w:val="18"/>
          <w:szCs w:val="18"/>
        </w:rPr>
      </w:pPr>
      <w:r>
        <w:rPr>
          <w:rFonts w:ascii="Times New Roman" w:hAnsi="Times New Roman" w:cs="Times New Roman"/>
          <w:bCs/>
          <w:sz w:val="18"/>
          <w:szCs w:val="18"/>
        </w:rPr>
        <w:t xml:space="preserve">a) </w:t>
      </w:r>
      <w:r w:rsidRPr="00A25CE7">
        <w:rPr>
          <w:rFonts w:ascii="Times New Roman" w:hAnsi="Times New Roman" w:cs="Times New Roman"/>
          <w:bCs/>
          <w:sz w:val="18"/>
          <w:szCs w:val="18"/>
        </w:rPr>
        <w:t>(e) bendinde yer alan “ayda bir (0,4 g/kg/ay)” ibaresi “</w:t>
      </w:r>
      <w:r w:rsidRPr="00A25CE7">
        <w:rPr>
          <w:rFonts w:ascii="Times New Roman" w:hAnsi="Times New Roman" w:cs="Times New Roman"/>
          <w:sz w:val="18"/>
          <w:szCs w:val="18"/>
        </w:rPr>
        <w:t xml:space="preserve">2-6 haftada bir 1-2 g/kg” </w:t>
      </w:r>
      <w:r>
        <w:rPr>
          <w:rFonts w:ascii="Times New Roman" w:hAnsi="Times New Roman" w:cs="Times New Roman"/>
          <w:sz w:val="18"/>
          <w:szCs w:val="18"/>
        </w:rPr>
        <w:t>şeklinde değiştirilmiştir.</w:t>
      </w:r>
    </w:p>
    <w:p w14:paraId="6A78C7EB" w14:textId="77777777" w:rsidR="007D55B5" w:rsidRDefault="007D55B5" w:rsidP="00D2420E">
      <w:pPr>
        <w:spacing w:after="0" w:line="240" w:lineRule="auto"/>
        <w:ind w:firstLine="708"/>
        <w:jc w:val="both"/>
        <w:rPr>
          <w:rFonts w:ascii="Times New Roman" w:hAnsi="Times New Roman" w:cs="Times New Roman"/>
          <w:sz w:val="18"/>
          <w:szCs w:val="18"/>
        </w:rPr>
      </w:pPr>
      <w:r>
        <w:rPr>
          <w:rFonts w:ascii="Times New Roman" w:eastAsia="Calibri" w:hAnsi="Times New Roman" w:cs="Times New Roman"/>
          <w:sz w:val="18"/>
          <w:szCs w:val="18"/>
        </w:rPr>
        <w:lastRenderedPageBreak/>
        <w:t xml:space="preserve">b) </w:t>
      </w:r>
      <w:r w:rsidRPr="00A25CE7">
        <w:rPr>
          <w:rFonts w:ascii="Times New Roman" w:eastAsia="Calibri" w:hAnsi="Times New Roman" w:cs="Times New Roman"/>
          <w:sz w:val="18"/>
          <w:szCs w:val="18"/>
        </w:rPr>
        <w:t xml:space="preserve">(f) bendinde yer alan “ayda bir (0,4 g/kg/ay) tek dozda” </w:t>
      </w:r>
      <w:r w:rsidRPr="00A25CE7">
        <w:rPr>
          <w:rFonts w:ascii="Times New Roman" w:hAnsi="Times New Roman" w:cs="Times New Roman"/>
          <w:bCs/>
          <w:sz w:val="18"/>
          <w:szCs w:val="18"/>
        </w:rPr>
        <w:t>ibaresi “</w:t>
      </w:r>
      <w:r w:rsidRPr="00A25CE7">
        <w:rPr>
          <w:rFonts w:ascii="Times New Roman" w:hAnsi="Times New Roman" w:cs="Times New Roman"/>
          <w:sz w:val="18"/>
          <w:szCs w:val="18"/>
        </w:rPr>
        <w:t xml:space="preserve">3 haftada bir 1 g/kg total doz” </w:t>
      </w:r>
      <w:r>
        <w:rPr>
          <w:rFonts w:ascii="Times New Roman" w:hAnsi="Times New Roman" w:cs="Times New Roman"/>
          <w:sz w:val="18"/>
          <w:szCs w:val="18"/>
        </w:rPr>
        <w:t xml:space="preserve">şeklinde ve </w:t>
      </w:r>
      <w:r w:rsidRPr="00A25CE7">
        <w:rPr>
          <w:rFonts w:ascii="Times New Roman" w:hAnsi="Times New Roman" w:cs="Times New Roman"/>
          <w:bCs/>
          <w:sz w:val="18"/>
          <w:szCs w:val="18"/>
        </w:rPr>
        <w:t>“</w:t>
      </w:r>
      <w:r w:rsidRPr="00A25CE7">
        <w:rPr>
          <w:rFonts w:ascii="Times New Roman" w:eastAsia="Calibri" w:hAnsi="Times New Roman" w:cs="Times New Roman"/>
          <w:sz w:val="18"/>
          <w:szCs w:val="18"/>
        </w:rPr>
        <w:t xml:space="preserve">ayda bir (0,4 g/kg/ay) tek doz” </w:t>
      </w:r>
      <w:r w:rsidRPr="00A25CE7">
        <w:rPr>
          <w:rFonts w:ascii="Times New Roman" w:hAnsi="Times New Roman" w:cs="Times New Roman"/>
          <w:bCs/>
          <w:sz w:val="18"/>
          <w:szCs w:val="18"/>
        </w:rPr>
        <w:t>ibaresi “</w:t>
      </w:r>
      <w:r w:rsidRPr="00A25CE7">
        <w:rPr>
          <w:rFonts w:ascii="Times New Roman" w:hAnsi="Times New Roman" w:cs="Times New Roman"/>
          <w:sz w:val="18"/>
          <w:szCs w:val="18"/>
        </w:rPr>
        <w:t xml:space="preserve">3 haftada bir (0,4-1 g/kg) total doz 1 veya 2 günde” </w:t>
      </w:r>
      <w:r>
        <w:rPr>
          <w:rFonts w:ascii="Times New Roman" w:hAnsi="Times New Roman" w:cs="Times New Roman"/>
          <w:sz w:val="18"/>
          <w:szCs w:val="18"/>
        </w:rPr>
        <w:t>şeklinde değiştirilmiştir.</w:t>
      </w:r>
    </w:p>
    <w:p w14:paraId="369A7337" w14:textId="77777777" w:rsidR="007D55B5" w:rsidRDefault="007D55B5" w:rsidP="00D2420E">
      <w:pPr>
        <w:spacing w:after="0" w:line="240" w:lineRule="auto"/>
        <w:ind w:firstLine="708"/>
        <w:jc w:val="both"/>
        <w:rPr>
          <w:rFonts w:ascii="Times New Roman" w:hAnsi="Times New Roman" w:cs="Times New Roman"/>
          <w:sz w:val="18"/>
          <w:szCs w:val="18"/>
        </w:rPr>
      </w:pPr>
      <w:r w:rsidRPr="005423B7">
        <w:rPr>
          <w:rFonts w:ascii="Times New Roman" w:hAnsi="Times New Roman" w:cs="Times New Roman"/>
          <w:b/>
          <w:bCs/>
          <w:sz w:val="18"/>
          <w:szCs w:val="18"/>
        </w:rPr>
        <w:t>MADDE 4-</w:t>
      </w:r>
      <w:r w:rsidRPr="005423B7">
        <w:rPr>
          <w:rFonts w:ascii="Times New Roman" w:hAnsi="Times New Roman" w:cs="Times New Roman"/>
          <w:bCs/>
          <w:sz w:val="18"/>
          <w:szCs w:val="18"/>
        </w:rPr>
        <w:t xml:space="preserve"> Aynı</w:t>
      </w:r>
      <w:r w:rsidRPr="00473ACC">
        <w:rPr>
          <w:rFonts w:ascii="Times New Roman" w:hAnsi="Times New Roman" w:cs="Times New Roman"/>
          <w:bCs/>
          <w:sz w:val="18"/>
          <w:szCs w:val="18"/>
        </w:rPr>
        <w:t xml:space="preserve"> Tebliğin</w:t>
      </w:r>
      <w:r w:rsidRPr="00473ACC">
        <w:rPr>
          <w:rFonts w:ascii="Times New Roman" w:hAnsi="Times New Roman" w:cs="Times New Roman"/>
          <w:sz w:val="18"/>
          <w:szCs w:val="18"/>
        </w:rPr>
        <w:t xml:space="preserve"> 4.2.14.C</w:t>
      </w:r>
      <w:r w:rsidRPr="00473ACC">
        <w:rPr>
          <w:rFonts w:ascii="Times New Roman" w:eastAsiaTheme="minorEastAsia" w:hAnsi="Times New Roman" w:cs="Times New Roman"/>
          <w:b/>
          <w:bCs/>
          <w:sz w:val="18"/>
          <w:szCs w:val="18"/>
        </w:rPr>
        <w:t xml:space="preserve"> </w:t>
      </w:r>
      <w:r w:rsidRPr="00473ACC">
        <w:rPr>
          <w:rFonts w:ascii="Times New Roman" w:hAnsi="Times New Roman" w:cs="Times New Roman"/>
          <w:sz w:val="18"/>
          <w:szCs w:val="18"/>
        </w:rPr>
        <w:t>numaralı maddesinin üçüncü fıkrasında aşağıdaki düzenlemeler yapılmıştır.</w:t>
      </w:r>
    </w:p>
    <w:p w14:paraId="5E42CD96" w14:textId="77777777" w:rsidR="007D55B5" w:rsidRDefault="007D55B5" w:rsidP="00D2420E">
      <w:pPr>
        <w:spacing w:after="0" w:line="240" w:lineRule="auto"/>
        <w:ind w:firstLine="708"/>
        <w:jc w:val="both"/>
        <w:rPr>
          <w:rFonts w:ascii="Times New Roman" w:hAnsi="Times New Roman" w:cs="Times New Roman"/>
          <w:bCs/>
          <w:sz w:val="18"/>
          <w:szCs w:val="18"/>
        </w:rPr>
      </w:pPr>
      <w:r w:rsidRPr="004A66FD">
        <w:rPr>
          <w:rFonts w:ascii="Times New Roman" w:hAnsi="Times New Roman" w:cs="Times New Roman"/>
          <w:bCs/>
          <w:sz w:val="18"/>
          <w:szCs w:val="18"/>
        </w:rPr>
        <w:t>a)</w:t>
      </w:r>
      <w:r>
        <w:rPr>
          <w:rFonts w:ascii="Times New Roman" w:hAnsi="Times New Roman" w:cs="Times New Roman"/>
          <w:bCs/>
          <w:sz w:val="18"/>
          <w:szCs w:val="18"/>
        </w:rPr>
        <w:t xml:space="preserve"> (ı) bendinin (a) alt bendinin (2) numaralı maddesinde yer alan </w:t>
      </w:r>
      <w:r w:rsidRPr="004A66FD">
        <w:rPr>
          <w:rFonts w:ascii="Times New Roman" w:hAnsi="Times New Roman" w:cs="Times New Roman"/>
          <w:bCs/>
          <w:sz w:val="18"/>
          <w:szCs w:val="18"/>
        </w:rPr>
        <w:t>“</w:t>
      </w:r>
      <w:r w:rsidRPr="004A66FD">
        <w:rPr>
          <w:rFonts w:ascii="Times New Roman" w:eastAsia="ヒラギノ明朝 Pro W3" w:hAnsi="Times New Roman" w:cs="Times New Roman"/>
          <w:sz w:val="18"/>
          <w:szCs w:val="18"/>
        </w:rPr>
        <w:t>yalnızca”</w:t>
      </w:r>
      <w:r w:rsidRPr="00153B34">
        <w:rPr>
          <w:rFonts w:ascii="Times New Roman" w:eastAsia="ヒラギノ明朝 Pro W3" w:hAnsi="Times New Roman" w:cs="Times New Roman"/>
          <w:sz w:val="18"/>
          <w:szCs w:val="18"/>
        </w:rPr>
        <w:t xml:space="preserve"> </w:t>
      </w:r>
      <w:r w:rsidRPr="00A25CE7">
        <w:rPr>
          <w:rFonts w:ascii="Times New Roman" w:hAnsi="Times New Roman" w:cs="Times New Roman"/>
          <w:bCs/>
          <w:sz w:val="18"/>
          <w:szCs w:val="18"/>
        </w:rPr>
        <w:t xml:space="preserve">ibaresi </w:t>
      </w:r>
      <w:r>
        <w:rPr>
          <w:rFonts w:ascii="Times New Roman" w:hAnsi="Times New Roman" w:cs="Times New Roman"/>
          <w:bCs/>
          <w:sz w:val="18"/>
          <w:szCs w:val="18"/>
        </w:rPr>
        <w:t>yürürlükten kaldırılmıştır.</w:t>
      </w:r>
    </w:p>
    <w:p w14:paraId="43D5CDB5" w14:textId="352F24D0" w:rsidR="007D55B5" w:rsidRDefault="007D55B5" w:rsidP="00D2420E">
      <w:pPr>
        <w:spacing w:after="0" w:line="240" w:lineRule="auto"/>
        <w:ind w:firstLine="708"/>
        <w:jc w:val="both"/>
        <w:rPr>
          <w:rFonts w:ascii="Times New Roman" w:eastAsiaTheme="majorEastAsia" w:hAnsi="Times New Roman" w:cs="Times New Roman"/>
          <w:sz w:val="18"/>
          <w:szCs w:val="18"/>
          <w:lang w:eastAsia="tr-TR"/>
        </w:rPr>
      </w:pPr>
      <w:r>
        <w:rPr>
          <w:rFonts w:ascii="Times New Roman" w:hAnsi="Times New Roman" w:cs="Times New Roman"/>
          <w:bCs/>
          <w:sz w:val="18"/>
          <w:szCs w:val="18"/>
        </w:rPr>
        <w:t xml:space="preserve">b) (u) bendinin (3) </w:t>
      </w:r>
      <w:r w:rsidRPr="00D044A1">
        <w:rPr>
          <w:rFonts w:ascii="Times New Roman" w:eastAsiaTheme="majorEastAsia" w:hAnsi="Times New Roman" w:cs="Times New Roman"/>
          <w:sz w:val="18"/>
          <w:szCs w:val="18"/>
          <w:lang w:eastAsia="tr-TR"/>
        </w:rPr>
        <w:t>numaralı alt bendin</w:t>
      </w:r>
      <w:r>
        <w:rPr>
          <w:rFonts w:ascii="Times New Roman" w:eastAsiaTheme="majorEastAsia" w:hAnsi="Times New Roman" w:cs="Times New Roman"/>
          <w:sz w:val="18"/>
          <w:szCs w:val="18"/>
          <w:lang w:eastAsia="tr-TR"/>
        </w:rPr>
        <w:t xml:space="preserve">e </w:t>
      </w:r>
      <w:r w:rsidRPr="003D31E9">
        <w:rPr>
          <w:rFonts w:ascii="Times New Roman" w:eastAsiaTheme="majorEastAsia" w:hAnsi="Times New Roman" w:cs="Times New Roman"/>
          <w:sz w:val="18"/>
          <w:szCs w:val="18"/>
          <w:lang w:eastAsia="tr-TR"/>
        </w:rPr>
        <w:t>aşağıdaki</w:t>
      </w:r>
      <w:r>
        <w:rPr>
          <w:rFonts w:ascii="Times New Roman" w:eastAsiaTheme="majorEastAsia" w:hAnsi="Times New Roman" w:cs="Times New Roman"/>
          <w:sz w:val="18"/>
          <w:szCs w:val="18"/>
          <w:lang w:eastAsia="tr-TR"/>
        </w:rPr>
        <w:t xml:space="preserve"> </w:t>
      </w:r>
      <w:r w:rsidR="00AB2514">
        <w:rPr>
          <w:rFonts w:ascii="Times New Roman" w:eastAsiaTheme="majorEastAsia" w:hAnsi="Times New Roman" w:cs="Times New Roman"/>
          <w:sz w:val="18"/>
          <w:szCs w:val="18"/>
          <w:lang w:eastAsia="tr-TR"/>
        </w:rPr>
        <w:t xml:space="preserve">madde </w:t>
      </w:r>
      <w:r>
        <w:rPr>
          <w:rFonts w:ascii="Times New Roman" w:eastAsiaTheme="majorEastAsia" w:hAnsi="Times New Roman" w:cs="Times New Roman"/>
          <w:sz w:val="18"/>
          <w:szCs w:val="18"/>
          <w:lang w:eastAsia="tr-TR"/>
        </w:rPr>
        <w:t>eklenmiştir.</w:t>
      </w:r>
    </w:p>
    <w:p w14:paraId="7C4166E7" w14:textId="77777777" w:rsidR="007D55B5" w:rsidRPr="006D4EB0" w:rsidRDefault="007D55B5" w:rsidP="00D2420E">
      <w:pPr>
        <w:spacing w:after="0" w:line="240" w:lineRule="auto"/>
        <w:ind w:firstLine="708"/>
        <w:jc w:val="both"/>
        <w:rPr>
          <w:rFonts w:ascii="Times New Roman" w:hAnsi="Times New Roman" w:cs="Times New Roman"/>
          <w:bCs/>
          <w:sz w:val="18"/>
          <w:szCs w:val="18"/>
        </w:rPr>
      </w:pPr>
      <w:r>
        <w:rPr>
          <w:rFonts w:ascii="Times New Roman" w:hAnsi="Times New Roman" w:cs="Times New Roman"/>
          <w:bCs/>
          <w:sz w:val="18"/>
          <w:szCs w:val="18"/>
        </w:rPr>
        <w:t>“</w:t>
      </w:r>
      <w:proofErr w:type="gramStart"/>
      <w:r w:rsidRPr="004A66FD">
        <w:rPr>
          <w:rFonts w:ascii="Times New Roman" w:hAnsi="Times New Roman" w:cs="Times New Roman"/>
          <w:bCs/>
          <w:sz w:val="18"/>
          <w:szCs w:val="18"/>
        </w:rPr>
        <w:t>f</w:t>
      </w:r>
      <w:proofErr w:type="gramEnd"/>
      <w:r w:rsidRPr="004A66FD">
        <w:rPr>
          <w:rFonts w:ascii="Times New Roman" w:hAnsi="Times New Roman" w:cs="Times New Roman"/>
          <w:bCs/>
          <w:sz w:val="18"/>
          <w:szCs w:val="18"/>
        </w:rPr>
        <w:t xml:space="preserve">) Sağlık Bakanlığınca onaylı endikasyonu </w:t>
      </w:r>
      <w:r w:rsidRPr="00B33149">
        <w:rPr>
          <w:rFonts w:ascii="Times New Roman" w:hAnsi="Times New Roman" w:cs="Times New Roman"/>
          <w:bCs/>
          <w:sz w:val="18"/>
          <w:szCs w:val="18"/>
        </w:rPr>
        <w:t xml:space="preserve">olması </w:t>
      </w:r>
      <w:r w:rsidRPr="00B33149">
        <w:rPr>
          <w:rFonts w:ascii="Times New Roman" w:eastAsia="Times New Roman" w:hAnsi="Times New Roman" w:cs="Times New Roman"/>
          <w:sz w:val="18"/>
          <w:szCs w:val="18"/>
        </w:rPr>
        <w:t>halinde</w:t>
      </w:r>
      <w:r w:rsidRPr="00B33149">
        <w:rPr>
          <w:rFonts w:ascii="Times New Roman" w:hAnsi="Times New Roman" w:cs="Times New Roman"/>
          <w:bCs/>
          <w:sz w:val="18"/>
          <w:szCs w:val="18"/>
        </w:rPr>
        <w:t>;</w:t>
      </w:r>
      <w:r w:rsidRPr="004A66FD">
        <w:rPr>
          <w:rFonts w:ascii="Times New Roman" w:hAnsi="Times New Roman" w:cs="Times New Roman"/>
          <w:bCs/>
          <w:sz w:val="18"/>
          <w:szCs w:val="18"/>
        </w:rPr>
        <w:t xml:space="preserve"> cerrahi uygun olmayan </w:t>
      </w:r>
      <w:proofErr w:type="spellStart"/>
      <w:r w:rsidRPr="004A66FD">
        <w:rPr>
          <w:rFonts w:ascii="Times New Roman" w:hAnsi="Times New Roman" w:cs="Times New Roman"/>
          <w:bCs/>
          <w:sz w:val="18"/>
          <w:szCs w:val="18"/>
        </w:rPr>
        <w:t>non</w:t>
      </w:r>
      <w:proofErr w:type="spellEnd"/>
      <w:r w:rsidRPr="004A66FD">
        <w:rPr>
          <w:rFonts w:ascii="Times New Roman" w:hAnsi="Times New Roman" w:cs="Times New Roman"/>
          <w:bCs/>
          <w:sz w:val="18"/>
          <w:szCs w:val="18"/>
        </w:rPr>
        <w:t xml:space="preserve"> metastatik yüksek riskli (Klinik nod pozitif hastalık (N1) veya </w:t>
      </w:r>
      <w:r>
        <w:rPr>
          <w:rFonts w:ascii="Times New Roman" w:hAnsi="Times New Roman" w:cs="Times New Roman"/>
          <w:bCs/>
          <w:sz w:val="18"/>
          <w:szCs w:val="18"/>
        </w:rPr>
        <w:t>n</w:t>
      </w:r>
      <w:r w:rsidRPr="004A66FD">
        <w:rPr>
          <w:rFonts w:ascii="Times New Roman" w:hAnsi="Times New Roman" w:cs="Times New Roman"/>
          <w:bCs/>
          <w:sz w:val="18"/>
          <w:szCs w:val="18"/>
        </w:rPr>
        <w:t xml:space="preserve">od negatif ise 3 risk faktöründen en az ikisinin olması (Tümör evresi klinik T3 ya da T4, </w:t>
      </w:r>
      <w:proofErr w:type="spellStart"/>
      <w:r>
        <w:rPr>
          <w:rFonts w:ascii="Times New Roman" w:hAnsi="Times New Roman" w:cs="Times New Roman"/>
          <w:bCs/>
          <w:sz w:val="18"/>
          <w:szCs w:val="18"/>
        </w:rPr>
        <w:t>G</w:t>
      </w:r>
      <w:r w:rsidRPr="004A66FD">
        <w:rPr>
          <w:rFonts w:ascii="Times New Roman" w:hAnsi="Times New Roman" w:cs="Times New Roman"/>
          <w:bCs/>
          <w:sz w:val="18"/>
          <w:szCs w:val="18"/>
        </w:rPr>
        <w:t>leason</w:t>
      </w:r>
      <w:proofErr w:type="spellEnd"/>
      <w:r w:rsidRPr="004A66FD">
        <w:rPr>
          <w:rFonts w:ascii="Times New Roman" w:hAnsi="Times New Roman" w:cs="Times New Roman"/>
          <w:bCs/>
          <w:sz w:val="18"/>
          <w:szCs w:val="18"/>
        </w:rPr>
        <w:t xml:space="preserve"> skoru 8-10, </w:t>
      </w:r>
      <w:r>
        <w:rPr>
          <w:rFonts w:ascii="Times New Roman" w:hAnsi="Times New Roman" w:cs="Times New Roman"/>
          <w:bCs/>
          <w:sz w:val="18"/>
          <w:szCs w:val="18"/>
        </w:rPr>
        <w:t>T</w:t>
      </w:r>
      <w:r w:rsidRPr="004A66FD">
        <w:rPr>
          <w:rFonts w:ascii="Times New Roman" w:hAnsi="Times New Roman" w:cs="Times New Roman"/>
          <w:bCs/>
          <w:sz w:val="18"/>
          <w:szCs w:val="18"/>
        </w:rPr>
        <w:t>otal PSA ≥ 40 ng/</w:t>
      </w:r>
      <w:proofErr w:type="spellStart"/>
      <w:r w:rsidRPr="00264B61">
        <w:rPr>
          <w:rFonts w:ascii="Times New Roman" w:hAnsi="Times New Roman" w:cs="Times New Roman"/>
          <w:bCs/>
          <w:sz w:val="18"/>
          <w:szCs w:val="18"/>
        </w:rPr>
        <w:t>mL</w:t>
      </w:r>
      <w:proofErr w:type="spellEnd"/>
      <w:r w:rsidRPr="004A66FD">
        <w:rPr>
          <w:rFonts w:ascii="Times New Roman" w:hAnsi="Times New Roman" w:cs="Times New Roman"/>
          <w:bCs/>
          <w:sz w:val="18"/>
          <w:szCs w:val="18"/>
        </w:rPr>
        <w:t>)</w:t>
      </w:r>
      <w:r>
        <w:rPr>
          <w:rFonts w:ascii="Times New Roman" w:hAnsi="Times New Roman" w:cs="Times New Roman"/>
          <w:bCs/>
          <w:sz w:val="18"/>
          <w:szCs w:val="18"/>
        </w:rPr>
        <w:t>)</w:t>
      </w:r>
      <w:r w:rsidRPr="004A66FD">
        <w:rPr>
          <w:rFonts w:ascii="Times New Roman" w:hAnsi="Times New Roman" w:cs="Times New Roman"/>
          <w:bCs/>
          <w:sz w:val="18"/>
          <w:szCs w:val="18"/>
        </w:rPr>
        <w:t xml:space="preserve"> prostat kanserli hastalarda </w:t>
      </w:r>
      <w:proofErr w:type="spellStart"/>
      <w:r w:rsidRPr="004A66FD">
        <w:rPr>
          <w:rFonts w:ascii="Times New Roman" w:hAnsi="Times New Roman" w:cs="Times New Roman"/>
          <w:bCs/>
          <w:sz w:val="18"/>
          <w:szCs w:val="18"/>
        </w:rPr>
        <w:t>definitif</w:t>
      </w:r>
      <w:proofErr w:type="spellEnd"/>
      <w:r w:rsidRPr="004A66FD">
        <w:rPr>
          <w:rFonts w:ascii="Times New Roman" w:hAnsi="Times New Roman" w:cs="Times New Roman"/>
          <w:bCs/>
          <w:sz w:val="18"/>
          <w:szCs w:val="18"/>
        </w:rPr>
        <w:t xml:space="preserve"> radyoterapi ile birlikte androjen baskılama tedavisi (ADT) ile </w:t>
      </w:r>
      <w:r w:rsidRPr="006D4EB0">
        <w:rPr>
          <w:rFonts w:ascii="Times New Roman" w:hAnsi="Times New Roman" w:cs="Times New Roman"/>
          <w:bCs/>
          <w:sz w:val="18"/>
          <w:szCs w:val="18"/>
        </w:rPr>
        <w:t xml:space="preserve">kombinasyon </w:t>
      </w:r>
      <w:r w:rsidRPr="006D4EB0">
        <w:rPr>
          <w:rFonts w:ascii="Times New Roman" w:eastAsia="Times New Roman" w:hAnsi="Times New Roman" w:cs="Times New Roman"/>
          <w:sz w:val="18"/>
          <w:szCs w:val="18"/>
        </w:rPr>
        <w:t>halinde</w:t>
      </w:r>
      <w:r w:rsidRPr="006D4EB0">
        <w:rPr>
          <w:rFonts w:ascii="Times New Roman" w:hAnsi="Times New Roman" w:cs="Times New Roman"/>
          <w:bCs/>
          <w:sz w:val="18"/>
          <w:szCs w:val="18"/>
        </w:rPr>
        <w:t xml:space="preserve"> en fazla 2 yıl süreyle kullanılması </w:t>
      </w:r>
      <w:r w:rsidRPr="006D4EB0">
        <w:rPr>
          <w:rFonts w:ascii="Times New Roman" w:eastAsia="Times New Roman" w:hAnsi="Times New Roman" w:cs="Times New Roman"/>
          <w:sz w:val="18"/>
          <w:szCs w:val="18"/>
        </w:rPr>
        <w:t>halinde</w:t>
      </w:r>
      <w:r w:rsidRPr="006D4EB0">
        <w:rPr>
          <w:rFonts w:ascii="Times New Roman" w:hAnsi="Times New Roman" w:cs="Times New Roman"/>
          <w:bCs/>
          <w:sz w:val="18"/>
          <w:szCs w:val="18"/>
        </w:rPr>
        <w:t xml:space="preserve"> bedelleri Kurumca karşılanır.”</w:t>
      </w:r>
    </w:p>
    <w:p w14:paraId="74159710" w14:textId="58323849" w:rsidR="007D55B5" w:rsidRPr="006D4EB0" w:rsidRDefault="007D55B5" w:rsidP="00D2420E">
      <w:pPr>
        <w:spacing w:after="0" w:line="240" w:lineRule="auto"/>
        <w:ind w:firstLine="708"/>
        <w:jc w:val="both"/>
        <w:rPr>
          <w:rFonts w:ascii="Times New Roman" w:eastAsiaTheme="majorEastAsia" w:hAnsi="Times New Roman" w:cs="Times New Roman"/>
          <w:sz w:val="18"/>
          <w:szCs w:val="18"/>
          <w:lang w:eastAsia="tr-TR"/>
        </w:rPr>
      </w:pPr>
      <w:r w:rsidRPr="006D4EB0">
        <w:rPr>
          <w:rFonts w:ascii="Times New Roman" w:hAnsi="Times New Roman" w:cs="Times New Roman"/>
          <w:bCs/>
          <w:sz w:val="18"/>
          <w:szCs w:val="18"/>
        </w:rPr>
        <w:t xml:space="preserve">c) (u) bendinin (5) </w:t>
      </w:r>
      <w:r w:rsidRPr="006D4EB0">
        <w:rPr>
          <w:rFonts w:ascii="Times New Roman" w:eastAsiaTheme="majorEastAsia" w:hAnsi="Times New Roman" w:cs="Times New Roman"/>
          <w:sz w:val="18"/>
          <w:szCs w:val="18"/>
          <w:lang w:eastAsia="tr-TR"/>
        </w:rPr>
        <w:t xml:space="preserve">numaralı alt bendine aşağıdaki </w:t>
      </w:r>
      <w:r w:rsidR="00AB2514">
        <w:rPr>
          <w:rFonts w:ascii="Times New Roman" w:eastAsiaTheme="majorEastAsia" w:hAnsi="Times New Roman" w:cs="Times New Roman"/>
          <w:sz w:val="18"/>
          <w:szCs w:val="18"/>
          <w:lang w:eastAsia="tr-TR"/>
        </w:rPr>
        <w:t xml:space="preserve">madde </w:t>
      </w:r>
      <w:r w:rsidRPr="006D4EB0">
        <w:rPr>
          <w:rFonts w:ascii="Times New Roman" w:eastAsiaTheme="majorEastAsia" w:hAnsi="Times New Roman" w:cs="Times New Roman"/>
          <w:sz w:val="18"/>
          <w:szCs w:val="18"/>
          <w:lang w:eastAsia="tr-TR"/>
        </w:rPr>
        <w:t>eklenmiştir.</w:t>
      </w:r>
    </w:p>
    <w:p w14:paraId="7B51376C" w14:textId="77777777" w:rsidR="007D55B5" w:rsidRPr="006D4EB0" w:rsidRDefault="007D55B5" w:rsidP="00D2420E">
      <w:pPr>
        <w:spacing w:after="0" w:line="240" w:lineRule="auto"/>
        <w:ind w:firstLine="708"/>
        <w:jc w:val="both"/>
        <w:rPr>
          <w:rFonts w:ascii="Times New Roman" w:hAnsi="Times New Roman" w:cs="Times New Roman"/>
          <w:bCs/>
          <w:sz w:val="18"/>
          <w:szCs w:val="18"/>
        </w:rPr>
      </w:pPr>
      <w:r w:rsidRPr="006D4EB0">
        <w:rPr>
          <w:rFonts w:ascii="Times New Roman" w:hAnsi="Times New Roman" w:cs="Times New Roman"/>
          <w:bCs/>
          <w:sz w:val="18"/>
          <w:szCs w:val="18"/>
        </w:rPr>
        <w:t xml:space="preserve"> “</w:t>
      </w:r>
      <w:proofErr w:type="gramStart"/>
      <w:r w:rsidRPr="006D4EB0">
        <w:rPr>
          <w:rFonts w:ascii="Times New Roman" w:hAnsi="Times New Roman" w:cs="Times New Roman"/>
          <w:bCs/>
          <w:sz w:val="18"/>
          <w:szCs w:val="18"/>
        </w:rPr>
        <w:t>c</w:t>
      </w:r>
      <w:proofErr w:type="gramEnd"/>
      <w:r w:rsidRPr="006D4EB0">
        <w:rPr>
          <w:rFonts w:ascii="Times New Roman" w:hAnsi="Times New Roman" w:cs="Times New Roman"/>
          <w:bCs/>
          <w:sz w:val="18"/>
          <w:szCs w:val="18"/>
        </w:rPr>
        <w:t xml:space="preserve">) </w:t>
      </w:r>
      <w:proofErr w:type="spellStart"/>
      <w:r w:rsidRPr="006D4EB0">
        <w:rPr>
          <w:rFonts w:ascii="Times New Roman" w:hAnsi="Times New Roman" w:cs="Times New Roman"/>
          <w:bCs/>
          <w:sz w:val="18"/>
          <w:szCs w:val="18"/>
        </w:rPr>
        <w:t>Visseral</w:t>
      </w:r>
      <w:proofErr w:type="spellEnd"/>
      <w:r w:rsidRPr="006D4EB0">
        <w:rPr>
          <w:rFonts w:ascii="Times New Roman" w:hAnsi="Times New Roman" w:cs="Times New Roman"/>
          <w:bCs/>
          <w:sz w:val="18"/>
          <w:szCs w:val="18"/>
        </w:rPr>
        <w:t xml:space="preserve"> metastazı olmayan hormon duyarlı metastatik prostat </w:t>
      </w:r>
      <w:proofErr w:type="spellStart"/>
      <w:r w:rsidRPr="006D4EB0">
        <w:rPr>
          <w:rFonts w:ascii="Times New Roman" w:hAnsi="Times New Roman" w:cs="Times New Roman"/>
          <w:bCs/>
          <w:sz w:val="18"/>
          <w:szCs w:val="18"/>
        </w:rPr>
        <w:t>karsinomlu</w:t>
      </w:r>
      <w:proofErr w:type="spellEnd"/>
      <w:r w:rsidRPr="006D4EB0">
        <w:rPr>
          <w:rFonts w:ascii="Times New Roman" w:hAnsi="Times New Roman" w:cs="Times New Roman"/>
          <w:bCs/>
          <w:sz w:val="18"/>
          <w:szCs w:val="18"/>
        </w:rPr>
        <w:t xml:space="preserve"> (</w:t>
      </w:r>
      <w:proofErr w:type="spellStart"/>
      <w:r w:rsidRPr="006D4EB0">
        <w:rPr>
          <w:rFonts w:ascii="Times New Roman" w:hAnsi="Times New Roman" w:cs="Times New Roman"/>
          <w:bCs/>
          <w:sz w:val="18"/>
          <w:szCs w:val="18"/>
        </w:rPr>
        <w:t>mHDPK</w:t>
      </w:r>
      <w:proofErr w:type="spellEnd"/>
      <w:r w:rsidRPr="006D4EB0">
        <w:rPr>
          <w:rFonts w:ascii="Times New Roman" w:hAnsi="Times New Roman" w:cs="Times New Roman"/>
          <w:bCs/>
          <w:sz w:val="18"/>
          <w:szCs w:val="18"/>
        </w:rPr>
        <w:t xml:space="preserve">) yetişkin erkeklerin tedavisinde androjen </w:t>
      </w:r>
      <w:proofErr w:type="spellStart"/>
      <w:r w:rsidRPr="006D4EB0">
        <w:rPr>
          <w:rFonts w:ascii="Times New Roman" w:hAnsi="Times New Roman" w:cs="Times New Roman"/>
          <w:bCs/>
          <w:sz w:val="18"/>
          <w:szCs w:val="18"/>
        </w:rPr>
        <w:t>deprivasyon</w:t>
      </w:r>
      <w:proofErr w:type="spellEnd"/>
      <w:r w:rsidRPr="006D4EB0">
        <w:rPr>
          <w:rFonts w:ascii="Times New Roman" w:hAnsi="Times New Roman" w:cs="Times New Roman"/>
          <w:bCs/>
          <w:sz w:val="18"/>
          <w:szCs w:val="18"/>
        </w:rPr>
        <w:t xml:space="preserve"> tedavisiyle (ADT) kombine kullanılması </w:t>
      </w:r>
      <w:r w:rsidRPr="006D4EB0">
        <w:rPr>
          <w:rFonts w:ascii="Times New Roman" w:eastAsia="Times New Roman" w:hAnsi="Times New Roman" w:cs="Times New Roman"/>
          <w:sz w:val="18"/>
          <w:szCs w:val="18"/>
        </w:rPr>
        <w:t>halinde</w:t>
      </w:r>
      <w:r w:rsidRPr="006D4EB0">
        <w:rPr>
          <w:rFonts w:ascii="Times New Roman" w:hAnsi="Times New Roman" w:cs="Times New Roman"/>
          <w:bCs/>
          <w:sz w:val="18"/>
          <w:szCs w:val="18"/>
        </w:rPr>
        <w:t xml:space="preserve"> bedelleri Kurumca karşılanır.”</w:t>
      </w:r>
    </w:p>
    <w:p w14:paraId="75C818C0" w14:textId="77777777" w:rsidR="007D55B5" w:rsidRPr="006D4EB0" w:rsidRDefault="007D55B5" w:rsidP="00D2420E">
      <w:pPr>
        <w:spacing w:after="0" w:line="240" w:lineRule="auto"/>
        <w:ind w:firstLine="708"/>
        <w:jc w:val="both"/>
        <w:rPr>
          <w:rFonts w:ascii="Times New Roman" w:hAnsi="Times New Roman" w:cs="Times New Roman"/>
          <w:bCs/>
          <w:sz w:val="18"/>
          <w:szCs w:val="18"/>
        </w:rPr>
      </w:pPr>
      <w:proofErr w:type="gramStart"/>
      <w:r w:rsidRPr="006D4EB0">
        <w:rPr>
          <w:rFonts w:ascii="Times New Roman" w:hAnsi="Times New Roman" w:cs="Times New Roman"/>
          <w:bCs/>
          <w:sz w:val="18"/>
          <w:szCs w:val="18"/>
        </w:rPr>
        <w:t>ç</w:t>
      </w:r>
      <w:proofErr w:type="gramEnd"/>
      <w:r w:rsidRPr="006D4EB0">
        <w:rPr>
          <w:rFonts w:ascii="Times New Roman" w:hAnsi="Times New Roman" w:cs="Times New Roman"/>
          <w:bCs/>
          <w:sz w:val="18"/>
          <w:szCs w:val="18"/>
        </w:rPr>
        <w:t>) (</w:t>
      </w:r>
      <w:proofErr w:type="spellStart"/>
      <w:r w:rsidRPr="006D4EB0">
        <w:rPr>
          <w:rFonts w:ascii="Times New Roman" w:hAnsi="Times New Roman" w:cs="Times New Roman"/>
          <w:bCs/>
          <w:sz w:val="18"/>
          <w:szCs w:val="18"/>
        </w:rPr>
        <w:t>oo</w:t>
      </w:r>
      <w:proofErr w:type="spellEnd"/>
      <w:r w:rsidRPr="006D4EB0">
        <w:rPr>
          <w:rFonts w:ascii="Times New Roman" w:hAnsi="Times New Roman" w:cs="Times New Roman"/>
          <w:bCs/>
          <w:sz w:val="18"/>
          <w:szCs w:val="18"/>
        </w:rPr>
        <w:t xml:space="preserve">) bendinin (2) numaralı alt bendinde yer alan </w:t>
      </w:r>
      <w:r w:rsidRPr="006D4EB0">
        <w:rPr>
          <w:rFonts w:ascii="Times New Roman" w:eastAsia="Calibri" w:hAnsi="Times New Roman" w:cs="Times New Roman"/>
          <w:sz w:val="18"/>
          <w:szCs w:val="18"/>
        </w:rPr>
        <w:t>“</w:t>
      </w:r>
      <w:r w:rsidRPr="006D4EB0">
        <w:rPr>
          <w:rFonts w:ascii="Times New Roman" w:eastAsia="Times New Roman" w:hAnsi="Times New Roman" w:cs="Times New Roman"/>
          <w:bCs/>
          <w:sz w:val="18"/>
          <w:szCs w:val="18"/>
          <w:lang w:eastAsia="tr-TR"/>
        </w:rPr>
        <w:t>ve”</w:t>
      </w:r>
      <w:r w:rsidRPr="006D4EB0">
        <w:rPr>
          <w:rFonts w:ascii="Times New Roman" w:hAnsi="Times New Roman" w:cs="Times New Roman"/>
          <w:bCs/>
          <w:sz w:val="18"/>
          <w:szCs w:val="18"/>
        </w:rPr>
        <w:t xml:space="preserve"> ibaresi “veya” </w:t>
      </w:r>
      <w:r>
        <w:rPr>
          <w:rFonts w:ascii="Times New Roman" w:hAnsi="Times New Roman" w:cs="Times New Roman"/>
          <w:sz w:val="18"/>
          <w:szCs w:val="18"/>
        </w:rPr>
        <w:t xml:space="preserve">şeklinde </w:t>
      </w:r>
      <w:r w:rsidRPr="006D4EB0">
        <w:rPr>
          <w:rFonts w:ascii="Times New Roman" w:hAnsi="Times New Roman" w:cs="Times New Roman"/>
          <w:sz w:val="18"/>
          <w:szCs w:val="18"/>
        </w:rPr>
        <w:t>değiştirilmiştir.</w:t>
      </w:r>
    </w:p>
    <w:p w14:paraId="186A7AF5" w14:textId="77777777" w:rsidR="007D55B5" w:rsidRDefault="007D55B5" w:rsidP="00D2420E">
      <w:pPr>
        <w:spacing w:after="0" w:line="240" w:lineRule="auto"/>
        <w:ind w:firstLine="708"/>
        <w:jc w:val="both"/>
        <w:rPr>
          <w:rFonts w:ascii="Times New Roman" w:hAnsi="Times New Roman" w:cs="Times New Roman"/>
          <w:sz w:val="18"/>
          <w:szCs w:val="18"/>
        </w:rPr>
      </w:pPr>
      <w:r w:rsidRPr="006D4EB0">
        <w:rPr>
          <w:rFonts w:ascii="Times New Roman" w:hAnsi="Times New Roman" w:cs="Times New Roman"/>
          <w:b/>
          <w:bCs/>
          <w:sz w:val="18"/>
          <w:szCs w:val="18"/>
        </w:rPr>
        <w:t>MADDE 5-</w:t>
      </w:r>
      <w:r w:rsidRPr="006D4EB0">
        <w:rPr>
          <w:rFonts w:ascii="Times New Roman" w:hAnsi="Times New Roman" w:cs="Times New Roman"/>
          <w:bCs/>
          <w:sz w:val="18"/>
          <w:szCs w:val="18"/>
        </w:rPr>
        <w:t xml:space="preserve"> Aynı Tebliğin </w:t>
      </w:r>
      <w:r w:rsidRPr="006D4EB0">
        <w:rPr>
          <w:rFonts w:ascii="Times New Roman" w:eastAsia="Times New Roman" w:hAnsi="Times New Roman" w:cs="Times New Roman"/>
          <w:sz w:val="18"/>
          <w:szCs w:val="18"/>
          <w:lang w:eastAsia="tr-TR"/>
        </w:rPr>
        <w:t xml:space="preserve">4.2.24.B </w:t>
      </w:r>
      <w:r w:rsidRPr="006D4EB0">
        <w:rPr>
          <w:rFonts w:ascii="Times New Roman" w:hAnsi="Times New Roman" w:cs="Times New Roman"/>
          <w:sz w:val="18"/>
          <w:szCs w:val="18"/>
        </w:rPr>
        <w:t>numaralı maddesinde aşağıdaki düzenlemeler</w:t>
      </w:r>
      <w:r w:rsidRPr="00473ACC">
        <w:rPr>
          <w:rFonts w:ascii="Times New Roman" w:hAnsi="Times New Roman" w:cs="Times New Roman"/>
          <w:sz w:val="18"/>
          <w:szCs w:val="18"/>
        </w:rPr>
        <w:t xml:space="preserve"> yapılmıştır.</w:t>
      </w:r>
    </w:p>
    <w:p w14:paraId="47FBD08F" w14:textId="3C8E564E" w:rsidR="007D55B5" w:rsidRDefault="00AB2514" w:rsidP="00D2420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7D55B5" w:rsidRPr="00155B99">
        <w:rPr>
          <w:rFonts w:ascii="Times New Roman" w:hAnsi="Times New Roman" w:cs="Times New Roman"/>
          <w:sz w:val="18"/>
          <w:szCs w:val="18"/>
        </w:rPr>
        <w:t>a)</w:t>
      </w:r>
      <w:r w:rsidR="007D55B5">
        <w:rPr>
          <w:rFonts w:ascii="Times New Roman" w:hAnsi="Times New Roman" w:cs="Times New Roman"/>
          <w:sz w:val="18"/>
          <w:szCs w:val="18"/>
        </w:rPr>
        <w:t xml:space="preserve"> Birinci fıkrasında yer alan “</w:t>
      </w:r>
      <w:proofErr w:type="spellStart"/>
      <w:r w:rsidR="007D55B5" w:rsidRPr="004F3DFC">
        <w:rPr>
          <w:rFonts w:ascii="Times New Roman" w:eastAsia="Times New Roman" w:hAnsi="Times New Roman" w:cs="Times New Roman"/>
          <w:sz w:val="18"/>
          <w:szCs w:val="18"/>
          <w:lang w:eastAsia="tr-TR"/>
        </w:rPr>
        <w:t>salmeterol</w:t>
      </w:r>
      <w:proofErr w:type="spellEnd"/>
      <w:r w:rsidR="007D55B5">
        <w:rPr>
          <w:rFonts w:ascii="Times New Roman" w:eastAsia="Times New Roman" w:hAnsi="Times New Roman" w:cs="Times New Roman"/>
          <w:sz w:val="18"/>
          <w:szCs w:val="18"/>
          <w:lang w:eastAsia="tr-TR"/>
        </w:rPr>
        <w:t xml:space="preserve">” </w:t>
      </w:r>
      <w:r w:rsidR="007D55B5" w:rsidRPr="00473ACC">
        <w:rPr>
          <w:rFonts w:ascii="Times New Roman" w:hAnsi="Times New Roman" w:cs="Times New Roman"/>
          <w:sz w:val="18"/>
          <w:szCs w:val="18"/>
        </w:rPr>
        <w:t xml:space="preserve">ibaresinden sonra gelmek üzere </w:t>
      </w:r>
      <w:r w:rsidR="007D55B5">
        <w:rPr>
          <w:rFonts w:ascii="Times New Roman" w:hAnsi="Times New Roman" w:cs="Times New Roman"/>
          <w:sz w:val="18"/>
          <w:szCs w:val="18"/>
        </w:rPr>
        <w:t>“</w:t>
      </w:r>
      <w:r w:rsidR="007D55B5" w:rsidRPr="00155B99">
        <w:rPr>
          <w:rFonts w:ascii="Times New Roman" w:hAnsi="Times New Roman" w:cs="Times New Roman"/>
          <w:sz w:val="18"/>
          <w:szCs w:val="18"/>
        </w:rPr>
        <w:t xml:space="preserve">, </w:t>
      </w:r>
      <w:proofErr w:type="spellStart"/>
      <w:r w:rsidR="007D55B5" w:rsidRPr="00155B99">
        <w:rPr>
          <w:rFonts w:ascii="Times New Roman" w:hAnsi="Times New Roman" w:cs="Times New Roman"/>
          <w:sz w:val="18"/>
          <w:szCs w:val="18"/>
        </w:rPr>
        <w:t>arformoterol</w:t>
      </w:r>
      <w:proofErr w:type="spellEnd"/>
      <w:r w:rsidR="007D55B5" w:rsidRPr="00473ACC">
        <w:rPr>
          <w:rFonts w:ascii="Times New Roman" w:hAnsi="Times New Roman" w:cs="Times New Roman"/>
          <w:sz w:val="18"/>
          <w:szCs w:val="18"/>
        </w:rPr>
        <w:t>” ibaresi eklenmiştir.</w:t>
      </w:r>
    </w:p>
    <w:p w14:paraId="227CE9B3" w14:textId="77777777" w:rsidR="007D55B5" w:rsidRDefault="007D55B5" w:rsidP="00D2420E">
      <w:pPr>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b) On üçüncü fıkrasında yer alan “</w:t>
      </w:r>
      <w:r w:rsidRPr="004F3DFC">
        <w:rPr>
          <w:rFonts w:ascii="Times New Roman" w:eastAsia="Times New Roman" w:hAnsi="Times New Roman" w:cs="Times New Roman"/>
          <w:sz w:val="18"/>
          <w:szCs w:val="18"/>
          <w:lang w:eastAsia="tr-TR"/>
        </w:rPr>
        <w:t>solunum sistemi ilaçları</w:t>
      </w:r>
      <w:r>
        <w:rPr>
          <w:rFonts w:ascii="Times New Roman" w:eastAsia="Times New Roman" w:hAnsi="Times New Roman" w:cs="Times New Roman"/>
          <w:sz w:val="18"/>
          <w:szCs w:val="18"/>
          <w:lang w:eastAsia="tr-TR"/>
        </w:rPr>
        <w:t xml:space="preserve">” </w:t>
      </w:r>
      <w:r w:rsidRPr="00473ACC">
        <w:rPr>
          <w:rFonts w:ascii="Times New Roman" w:hAnsi="Times New Roman" w:cs="Times New Roman"/>
          <w:sz w:val="18"/>
          <w:szCs w:val="18"/>
        </w:rPr>
        <w:t>ibaresinden sonra gelmek üzere</w:t>
      </w:r>
      <w:r>
        <w:rPr>
          <w:rFonts w:ascii="Times New Roman" w:hAnsi="Times New Roman" w:cs="Times New Roman"/>
          <w:sz w:val="18"/>
          <w:szCs w:val="18"/>
        </w:rPr>
        <w:t xml:space="preserve"> “</w:t>
      </w:r>
      <w:r w:rsidRPr="00155B99">
        <w:rPr>
          <w:rFonts w:ascii="Times New Roman" w:hAnsi="Times New Roman" w:cs="Times New Roman"/>
          <w:sz w:val="18"/>
          <w:szCs w:val="18"/>
        </w:rPr>
        <w:t>(</w:t>
      </w:r>
      <w:proofErr w:type="spellStart"/>
      <w:r w:rsidRPr="00155B99">
        <w:rPr>
          <w:rFonts w:ascii="Times New Roman" w:hAnsi="Times New Roman" w:cs="Times New Roman"/>
          <w:sz w:val="18"/>
          <w:szCs w:val="18"/>
        </w:rPr>
        <w:t>arformoterol</w:t>
      </w:r>
      <w:proofErr w:type="spellEnd"/>
      <w:r w:rsidRPr="00155B99">
        <w:rPr>
          <w:rFonts w:ascii="Times New Roman" w:hAnsi="Times New Roman" w:cs="Times New Roman"/>
          <w:sz w:val="18"/>
          <w:szCs w:val="18"/>
        </w:rPr>
        <w:t xml:space="preserve"> hariç)</w:t>
      </w:r>
      <w:r>
        <w:rPr>
          <w:rFonts w:ascii="Times New Roman" w:hAnsi="Times New Roman" w:cs="Times New Roman"/>
          <w:sz w:val="18"/>
          <w:szCs w:val="18"/>
        </w:rPr>
        <w:t xml:space="preserve">” </w:t>
      </w:r>
      <w:r w:rsidRPr="00473ACC">
        <w:rPr>
          <w:rFonts w:ascii="Times New Roman" w:hAnsi="Times New Roman" w:cs="Times New Roman"/>
          <w:sz w:val="18"/>
          <w:szCs w:val="18"/>
        </w:rPr>
        <w:t>ibaresi eklenmiştir.</w:t>
      </w:r>
    </w:p>
    <w:p w14:paraId="2D1E3326" w14:textId="77777777" w:rsidR="007D55B5" w:rsidRPr="005463A1" w:rsidRDefault="007D55B5" w:rsidP="007D55B5">
      <w:pPr>
        <w:spacing w:after="0" w:line="240" w:lineRule="auto"/>
        <w:ind w:firstLine="708"/>
        <w:jc w:val="both"/>
        <w:rPr>
          <w:rFonts w:ascii="Times New Roman" w:hAnsi="Times New Roman" w:cs="Times New Roman"/>
          <w:sz w:val="18"/>
          <w:szCs w:val="18"/>
        </w:rPr>
      </w:pPr>
      <w:r w:rsidRPr="005463A1">
        <w:rPr>
          <w:rFonts w:ascii="Times New Roman" w:hAnsi="Times New Roman" w:cs="Times New Roman"/>
          <w:b/>
          <w:bCs/>
          <w:sz w:val="18"/>
          <w:szCs w:val="18"/>
        </w:rPr>
        <w:t>MADDE 6-</w:t>
      </w:r>
      <w:r w:rsidRPr="005463A1">
        <w:rPr>
          <w:rFonts w:ascii="Times New Roman" w:hAnsi="Times New Roman" w:cs="Times New Roman"/>
          <w:bCs/>
          <w:sz w:val="18"/>
          <w:szCs w:val="18"/>
        </w:rPr>
        <w:t xml:space="preserve"> Aynı Tebliğin 4.2.30.A </w:t>
      </w:r>
      <w:r w:rsidRPr="005463A1">
        <w:rPr>
          <w:rFonts w:ascii="Times New Roman" w:hAnsi="Times New Roman" w:cs="Times New Roman"/>
          <w:sz w:val="18"/>
          <w:szCs w:val="18"/>
        </w:rPr>
        <w:t>numaralı maddesinde aşağıdaki düzenlemeler yapılmıştır.</w:t>
      </w:r>
    </w:p>
    <w:p w14:paraId="7A9CF857" w14:textId="77777777" w:rsidR="007D55B5" w:rsidRPr="005463A1" w:rsidRDefault="007D55B5" w:rsidP="007D55B5">
      <w:pPr>
        <w:spacing w:after="0" w:line="240" w:lineRule="auto"/>
        <w:ind w:firstLine="708"/>
        <w:jc w:val="both"/>
        <w:rPr>
          <w:rFonts w:ascii="Times New Roman" w:hAnsi="Times New Roman" w:cs="Times New Roman"/>
          <w:sz w:val="18"/>
          <w:szCs w:val="18"/>
        </w:rPr>
      </w:pPr>
      <w:r w:rsidRPr="005463A1">
        <w:rPr>
          <w:rFonts w:ascii="Times New Roman" w:hAnsi="Times New Roman" w:cs="Times New Roman"/>
          <w:sz w:val="18"/>
          <w:szCs w:val="18"/>
        </w:rPr>
        <w:t xml:space="preserve">a) </w:t>
      </w:r>
      <w:r>
        <w:rPr>
          <w:rFonts w:ascii="Times New Roman" w:hAnsi="Times New Roman" w:cs="Times New Roman"/>
          <w:bCs/>
          <w:sz w:val="18"/>
          <w:szCs w:val="18"/>
        </w:rPr>
        <w:t>M</w:t>
      </w:r>
      <w:r w:rsidRPr="005463A1">
        <w:rPr>
          <w:rFonts w:ascii="Times New Roman" w:hAnsi="Times New Roman" w:cs="Times New Roman"/>
          <w:sz w:val="18"/>
          <w:szCs w:val="18"/>
        </w:rPr>
        <w:t>adde başlığında yer alan “</w:t>
      </w:r>
      <w:proofErr w:type="spellStart"/>
      <w:r w:rsidRPr="005463A1">
        <w:rPr>
          <w:rFonts w:ascii="Times New Roman" w:eastAsia="Calibri" w:hAnsi="Times New Roman" w:cs="Times New Roman"/>
          <w:bCs/>
          <w:sz w:val="18"/>
          <w:szCs w:val="18"/>
        </w:rPr>
        <w:t>treprostinil</w:t>
      </w:r>
      <w:proofErr w:type="spellEnd"/>
      <w:r w:rsidRPr="005463A1">
        <w:rPr>
          <w:rFonts w:ascii="Times New Roman" w:eastAsia="Calibri" w:hAnsi="Times New Roman" w:cs="Times New Roman"/>
          <w:bCs/>
          <w:sz w:val="18"/>
          <w:szCs w:val="18"/>
        </w:rPr>
        <w:t xml:space="preserve"> sodyum”</w:t>
      </w:r>
      <w:r w:rsidRPr="005463A1">
        <w:rPr>
          <w:rFonts w:ascii="Times New Roman" w:hAnsi="Times New Roman" w:cs="Times New Roman"/>
          <w:sz w:val="18"/>
          <w:szCs w:val="18"/>
        </w:rPr>
        <w:t xml:space="preserve"> ibaresinden sonra gelmek üzere </w:t>
      </w:r>
      <w:r w:rsidRPr="00AB2514">
        <w:rPr>
          <w:rFonts w:ascii="Times New Roman" w:hAnsi="Times New Roman" w:cs="Times New Roman"/>
          <w:bCs/>
          <w:sz w:val="18"/>
          <w:szCs w:val="18"/>
        </w:rPr>
        <w:t>“</w:t>
      </w:r>
      <w:r w:rsidRPr="00B41DF2">
        <w:rPr>
          <w:rFonts w:ascii="Times New Roman" w:eastAsia="Calibri" w:hAnsi="Times New Roman" w:cs="Times New Roman"/>
          <w:b/>
          <w:sz w:val="18"/>
          <w:szCs w:val="18"/>
        </w:rPr>
        <w:t>,</w:t>
      </w:r>
      <w:r w:rsidRPr="00B41DF2">
        <w:rPr>
          <w:rFonts w:ascii="Times New Roman" w:eastAsia="Times New Roman" w:hAnsi="Times New Roman" w:cs="Times New Roman"/>
          <w:b/>
          <w:sz w:val="18"/>
          <w:szCs w:val="18"/>
        </w:rPr>
        <w:t xml:space="preserve"> </w:t>
      </w:r>
      <w:proofErr w:type="spellStart"/>
      <w:r w:rsidRPr="00B41DF2">
        <w:rPr>
          <w:rFonts w:ascii="Times New Roman" w:eastAsia="Times New Roman" w:hAnsi="Times New Roman" w:cs="Times New Roman"/>
          <w:b/>
          <w:sz w:val="18"/>
          <w:szCs w:val="18"/>
        </w:rPr>
        <w:t>masitentan</w:t>
      </w:r>
      <w:proofErr w:type="spellEnd"/>
      <w:r w:rsidRPr="00B41DF2">
        <w:rPr>
          <w:rFonts w:ascii="Times New Roman" w:eastAsia="Times New Roman" w:hAnsi="Times New Roman" w:cs="Times New Roman"/>
          <w:b/>
          <w:sz w:val="18"/>
          <w:szCs w:val="18"/>
        </w:rPr>
        <w:t xml:space="preserve">+ </w:t>
      </w:r>
      <w:proofErr w:type="spellStart"/>
      <w:r w:rsidRPr="00B41DF2">
        <w:rPr>
          <w:rFonts w:ascii="Times New Roman" w:eastAsia="Times New Roman" w:hAnsi="Times New Roman" w:cs="Times New Roman"/>
          <w:b/>
          <w:sz w:val="18"/>
          <w:szCs w:val="18"/>
        </w:rPr>
        <w:t>tadalafil</w:t>
      </w:r>
      <w:proofErr w:type="spellEnd"/>
      <w:r w:rsidRPr="00AB2514">
        <w:rPr>
          <w:rFonts w:ascii="Times New Roman" w:hAnsi="Times New Roman" w:cs="Times New Roman"/>
          <w:bCs/>
          <w:sz w:val="18"/>
          <w:szCs w:val="18"/>
        </w:rPr>
        <w:t>”</w:t>
      </w:r>
      <w:r w:rsidRPr="005463A1">
        <w:rPr>
          <w:rFonts w:ascii="Times New Roman" w:hAnsi="Times New Roman" w:cs="Times New Roman"/>
          <w:sz w:val="18"/>
          <w:szCs w:val="18"/>
        </w:rPr>
        <w:t xml:space="preserve"> ibaresi eklenmiştir.</w:t>
      </w:r>
    </w:p>
    <w:p w14:paraId="72F02301" w14:textId="51D49855" w:rsidR="007D55B5" w:rsidRPr="005463A1" w:rsidRDefault="007D55B5" w:rsidP="007D55B5">
      <w:pPr>
        <w:spacing w:after="0" w:line="240" w:lineRule="auto"/>
        <w:ind w:firstLine="708"/>
        <w:jc w:val="both"/>
        <w:rPr>
          <w:rFonts w:ascii="Times New Roman" w:eastAsiaTheme="majorEastAsia" w:hAnsi="Times New Roman" w:cs="Times New Roman"/>
          <w:sz w:val="18"/>
          <w:szCs w:val="18"/>
          <w:lang w:eastAsia="tr-TR"/>
        </w:rPr>
      </w:pPr>
      <w:r>
        <w:rPr>
          <w:rFonts w:ascii="Times New Roman" w:eastAsia="Calibri" w:hAnsi="Times New Roman" w:cs="Times New Roman"/>
          <w:sz w:val="18"/>
          <w:szCs w:val="18"/>
        </w:rPr>
        <w:t xml:space="preserve">b) </w:t>
      </w:r>
      <w:r w:rsidR="00B41DF2">
        <w:rPr>
          <w:rFonts w:ascii="Times New Roman" w:eastAsia="Calibri" w:hAnsi="Times New Roman" w:cs="Times New Roman"/>
          <w:sz w:val="18"/>
          <w:szCs w:val="18"/>
        </w:rPr>
        <w:t xml:space="preserve"> </w:t>
      </w:r>
      <w:r w:rsidRPr="005463A1">
        <w:rPr>
          <w:rFonts w:ascii="Times New Roman" w:hAnsi="Times New Roman" w:cs="Times New Roman"/>
          <w:sz w:val="18"/>
          <w:szCs w:val="18"/>
        </w:rPr>
        <w:t>Birinci fıkrasının (a) bendinde yer alan “</w:t>
      </w:r>
      <w:proofErr w:type="spellStart"/>
      <w:r w:rsidRPr="004F3DFC">
        <w:rPr>
          <w:rFonts w:ascii="Times New Roman" w:eastAsia="Calibri" w:hAnsi="Times New Roman" w:cs="Times New Roman"/>
          <w:sz w:val="18"/>
          <w:szCs w:val="18"/>
        </w:rPr>
        <w:t>bosentan</w:t>
      </w:r>
      <w:proofErr w:type="spellEnd"/>
      <w:r w:rsidRPr="004F3DFC">
        <w:rPr>
          <w:rFonts w:ascii="Times New Roman" w:eastAsia="Calibri" w:hAnsi="Times New Roman" w:cs="Times New Roman"/>
          <w:sz w:val="18"/>
          <w:szCs w:val="18"/>
        </w:rPr>
        <w:t xml:space="preserve"> ile</w:t>
      </w:r>
      <w:r>
        <w:rPr>
          <w:rFonts w:ascii="Times New Roman" w:eastAsia="Calibri" w:hAnsi="Times New Roman" w:cs="Times New Roman"/>
          <w:sz w:val="18"/>
          <w:szCs w:val="18"/>
        </w:rPr>
        <w:t xml:space="preserve"> </w:t>
      </w:r>
      <w:proofErr w:type="spellStart"/>
      <w:r w:rsidRPr="005463A1">
        <w:rPr>
          <w:rFonts w:ascii="Times New Roman" w:eastAsia="Calibri" w:hAnsi="Times New Roman" w:cs="Times New Roman"/>
          <w:sz w:val="18"/>
          <w:szCs w:val="18"/>
        </w:rPr>
        <w:t>sildenafil</w:t>
      </w:r>
      <w:proofErr w:type="spellEnd"/>
      <w:r w:rsidRPr="005463A1">
        <w:rPr>
          <w:rFonts w:ascii="Times New Roman" w:eastAsia="Calibri" w:hAnsi="Times New Roman" w:cs="Times New Roman"/>
          <w:sz w:val="18"/>
          <w:szCs w:val="18"/>
        </w:rPr>
        <w:t xml:space="preserve"> kombinasyonu</w:t>
      </w:r>
      <w:r w:rsidRPr="00386C08">
        <w:rPr>
          <w:rFonts w:ascii="Times New Roman" w:eastAsia="Calibri" w:hAnsi="Times New Roman" w:cs="Times New Roman"/>
          <w:sz w:val="18"/>
          <w:szCs w:val="18"/>
        </w:rPr>
        <w:t>”</w:t>
      </w:r>
      <w:r w:rsidRPr="00386C08">
        <w:rPr>
          <w:rFonts w:ascii="Times New Roman" w:hAnsi="Times New Roman" w:cs="Times New Roman"/>
          <w:sz w:val="18"/>
          <w:szCs w:val="18"/>
        </w:rPr>
        <w:t xml:space="preserve"> ibaresinden sonra</w:t>
      </w:r>
      <w:r w:rsidRPr="005463A1">
        <w:rPr>
          <w:rFonts w:ascii="Times New Roman" w:hAnsi="Times New Roman" w:cs="Times New Roman"/>
          <w:sz w:val="18"/>
          <w:szCs w:val="18"/>
        </w:rPr>
        <w:t xml:space="preserve"> gelmek üzere</w:t>
      </w:r>
      <w:proofErr w:type="gramStart"/>
      <w:r w:rsidR="00B41DF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463A1">
        <w:rPr>
          <w:rFonts w:ascii="Times New Roman" w:hAnsi="Times New Roman" w:cs="Times New Roman"/>
          <w:sz w:val="18"/>
          <w:szCs w:val="18"/>
        </w:rPr>
        <w:t>“</w:t>
      </w:r>
      <w:proofErr w:type="gramEnd"/>
      <w:r w:rsidRPr="005463A1">
        <w:rPr>
          <w:rFonts w:ascii="Times New Roman" w:eastAsia="Calibri" w:hAnsi="Times New Roman" w:cs="Times New Roman"/>
          <w:sz w:val="18"/>
          <w:szCs w:val="18"/>
        </w:rPr>
        <w:t xml:space="preserve">, 2-17 yaş için sadece </w:t>
      </w:r>
      <w:proofErr w:type="spellStart"/>
      <w:r w:rsidRPr="005463A1">
        <w:rPr>
          <w:rFonts w:ascii="Times New Roman" w:eastAsia="Calibri" w:hAnsi="Times New Roman" w:cs="Times New Roman"/>
          <w:sz w:val="18"/>
          <w:szCs w:val="18"/>
        </w:rPr>
        <w:t>bosentan</w:t>
      </w:r>
      <w:proofErr w:type="spellEnd"/>
      <w:r w:rsidRPr="005463A1">
        <w:rPr>
          <w:rFonts w:ascii="Times New Roman" w:eastAsia="Calibri" w:hAnsi="Times New Roman" w:cs="Times New Roman"/>
          <w:sz w:val="18"/>
          <w:szCs w:val="18"/>
        </w:rPr>
        <w:t xml:space="preserve"> ile </w:t>
      </w:r>
      <w:proofErr w:type="spellStart"/>
      <w:r w:rsidRPr="005463A1">
        <w:rPr>
          <w:rFonts w:ascii="Times New Roman" w:eastAsia="Calibri" w:hAnsi="Times New Roman" w:cs="Times New Roman"/>
          <w:sz w:val="18"/>
          <w:szCs w:val="18"/>
        </w:rPr>
        <w:t>tadalafil</w:t>
      </w:r>
      <w:proofErr w:type="spellEnd"/>
      <w:r w:rsidRPr="005463A1">
        <w:rPr>
          <w:rFonts w:ascii="Times New Roman" w:eastAsia="Calibri" w:hAnsi="Times New Roman" w:cs="Times New Roman"/>
          <w:sz w:val="18"/>
          <w:szCs w:val="18"/>
        </w:rPr>
        <w:t xml:space="preserve"> kombinasyonu” </w:t>
      </w:r>
      <w:r w:rsidRPr="005463A1">
        <w:rPr>
          <w:rFonts w:ascii="Times New Roman" w:hAnsi="Times New Roman" w:cs="Times New Roman"/>
          <w:sz w:val="18"/>
          <w:szCs w:val="18"/>
        </w:rPr>
        <w:t xml:space="preserve">ibaresi </w:t>
      </w:r>
      <w:r>
        <w:rPr>
          <w:rFonts w:ascii="Times New Roman" w:hAnsi="Times New Roman" w:cs="Times New Roman"/>
          <w:sz w:val="18"/>
          <w:szCs w:val="18"/>
        </w:rPr>
        <w:t>ve aynı fıkraya</w:t>
      </w:r>
      <w:r w:rsidRPr="005463A1">
        <w:rPr>
          <w:rFonts w:ascii="Times New Roman" w:hAnsi="Times New Roman" w:cs="Times New Roman"/>
          <w:sz w:val="18"/>
          <w:szCs w:val="18"/>
        </w:rPr>
        <w:t xml:space="preserve"> </w:t>
      </w:r>
      <w:r w:rsidRPr="005463A1">
        <w:rPr>
          <w:rFonts w:ascii="Times New Roman" w:eastAsiaTheme="majorEastAsia" w:hAnsi="Times New Roman" w:cs="Times New Roman"/>
          <w:sz w:val="18"/>
          <w:szCs w:val="18"/>
          <w:lang w:eastAsia="tr-TR"/>
        </w:rPr>
        <w:t xml:space="preserve">aşağıdaki </w:t>
      </w:r>
      <w:r>
        <w:rPr>
          <w:rFonts w:ascii="Times New Roman" w:eastAsiaTheme="majorEastAsia" w:hAnsi="Times New Roman" w:cs="Times New Roman"/>
          <w:sz w:val="18"/>
          <w:szCs w:val="18"/>
          <w:lang w:eastAsia="tr-TR"/>
        </w:rPr>
        <w:t>bent</w:t>
      </w:r>
      <w:r w:rsidRPr="005463A1">
        <w:rPr>
          <w:rFonts w:ascii="Times New Roman" w:eastAsiaTheme="majorEastAsia" w:hAnsi="Times New Roman" w:cs="Times New Roman"/>
          <w:sz w:val="18"/>
          <w:szCs w:val="18"/>
          <w:lang w:eastAsia="tr-TR"/>
        </w:rPr>
        <w:t xml:space="preserve"> eklenmiştir.</w:t>
      </w:r>
      <w:r>
        <w:rPr>
          <w:rFonts w:ascii="Times New Roman" w:eastAsiaTheme="majorEastAsia" w:hAnsi="Times New Roman" w:cs="Times New Roman"/>
          <w:sz w:val="18"/>
          <w:szCs w:val="18"/>
          <w:lang w:eastAsia="tr-TR"/>
        </w:rPr>
        <w:t xml:space="preserve"> </w:t>
      </w:r>
    </w:p>
    <w:p w14:paraId="017BD1E2" w14:textId="77777777" w:rsidR="007D55B5" w:rsidRPr="005463A1" w:rsidRDefault="007D55B5" w:rsidP="007D55B5">
      <w:pPr>
        <w:spacing w:after="0" w:line="240" w:lineRule="auto"/>
        <w:ind w:firstLine="708"/>
        <w:jc w:val="both"/>
        <w:rPr>
          <w:rFonts w:ascii="Times New Roman" w:hAnsi="Times New Roman" w:cs="Times New Roman"/>
          <w:sz w:val="18"/>
          <w:szCs w:val="18"/>
        </w:rPr>
      </w:pPr>
      <w:r w:rsidRPr="005463A1">
        <w:rPr>
          <w:rFonts w:ascii="Times New Roman" w:eastAsia="Calibri" w:hAnsi="Times New Roman" w:cs="Times New Roman"/>
          <w:sz w:val="18"/>
          <w:szCs w:val="18"/>
        </w:rPr>
        <w:t>“</w:t>
      </w:r>
      <w:proofErr w:type="gramStart"/>
      <w:r w:rsidRPr="005463A1">
        <w:rPr>
          <w:rFonts w:ascii="Times New Roman" w:eastAsia="Calibri" w:hAnsi="Times New Roman" w:cs="Times New Roman"/>
          <w:sz w:val="18"/>
          <w:szCs w:val="18"/>
        </w:rPr>
        <w:t>d</w:t>
      </w:r>
      <w:proofErr w:type="gramEnd"/>
      <w:r w:rsidRPr="005463A1">
        <w:rPr>
          <w:rFonts w:ascii="Times New Roman" w:eastAsia="Calibri" w:hAnsi="Times New Roman" w:cs="Times New Roman"/>
          <w:sz w:val="18"/>
          <w:szCs w:val="18"/>
        </w:rPr>
        <w:t xml:space="preserve">) </w:t>
      </w:r>
      <w:proofErr w:type="spellStart"/>
      <w:r w:rsidRPr="005463A1">
        <w:rPr>
          <w:rFonts w:ascii="Times New Roman" w:eastAsia="Times New Roman" w:hAnsi="Times New Roman" w:cs="Times New Roman"/>
          <w:sz w:val="18"/>
          <w:szCs w:val="18"/>
        </w:rPr>
        <w:t>Masitentan+</w:t>
      </w:r>
      <w:r w:rsidRPr="005463A1">
        <w:rPr>
          <w:rFonts w:ascii="Times New Roman" w:eastAsia="Times New Roman" w:hAnsi="Times New Roman" w:cs="Times New Roman"/>
          <w:bCs/>
          <w:sz w:val="18"/>
          <w:szCs w:val="18"/>
        </w:rPr>
        <w:t>tadalafil</w:t>
      </w:r>
      <w:proofErr w:type="spellEnd"/>
      <w:r w:rsidRPr="005463A1">
        <w:rPr>
          <w:rFonts w:ascii="Times New Roman" w:eastAsia="Times New Roman" w:hAnsi="Times New Roman" w:cs="Times New Roman"/>
          <w:bCs/>
          <w:sz w:val="18"/>
          <w:szCs w:val="18"/>
        </w:rPr>
        <w:t xml:space="preserve"> etkin maddelerini sabit dozda içeren ilaçlar</w:t>
      </w:r>
      <w:r w:rsidRPr="005463A1">
        <w:rPr>
          <w:rFonts w:ascii="Times New Roman" w:eastAsia="Calibri" w:hAnsi="Times New Roman" w:cs="Times New Roman"/>
          <w:sz w:val="18"/>
          <w:szCs w:val="18"/>
        </w:rPr>
        <w:t xml:space="preserve">; son 3 ayda </w:t>
      </w:r>
      <w:proofErr w:type="spellStart"/>
      <w:r w:rsidRPr="005463A1">
        <w:rPr>
          <w:rFonts w:ascii="Times New Roman" w:eastAsia="Calibri" w:hAnsi="Times New Roman" w:cs="Times New Roman"/>
          <w:sz w:val="18"/>
          <w:szCs w:val="18"/>
        </w:rPr>
        <w:t>masitentan</w:t>
      </w:r>
      <w:proofErr w:type="spellEnd"/>
      <w:r w:rsidRPr="005463A1">
        <w:rPr>
          <w:rFonts w:ascii="Times New Roman" w:eastAsia="Calibri" w:hAnsi="Times New Roman" w:cs="Times New Roman"/>
          <w:sz w:val="18"/>
          <w:szCs w:val="18"/>
        </w:rPr>
        <w:t xml:space="preserve"> 10 mg ve </w:t>
      </w:r>
      <w:proofErr w:type="spellStart"/>
      <w:r w:rsidRPr="005463A1">
        <w:rPr>
          <w:rFonts w:ascii="Times New Roman" w:eastAsia="Calibri" w:hAnsi="Times New Roman" w:cs="Times New Roman"/>
          <w:sz w:val="18"/>
          <w:szCs w:val="18"/>
        </w:rPr>
        <w:t>tadalafil</w:t>
      </w:r>
      <w:proofErr w:type="spellEnd"/>
      <w:r w:rsidRPr="005463A1">
        <w:rPr>
          <w:rFonts w:ascii="Times New Roman" w:eastAsia="Calibri" w:hAnsi="Times New Roman" w:cs="Times New Roman"/>
          <w:sz w:val="18"/>
          <w:szCs w:val="18"/>
        </w:rPr>
        <w:t xml:space="preserve"> 40 mg (20 mg x 2) dozlarını içeren ilaçların birlikte kullanımı ile stabilize olan hastalarda tedaviye </w:t>
      </w:r>
      <w:r w:rsidRPr="006D4EB0">
        <w:rPr>
          <w:rFonts w:ascii="Times New Roman" w:eastAsia="Calibri" w:hAnsi="Times New Roman" w:cs="Times New Roman"/>
          <w:sz w:val="18"/>
          <w:szCs w:val="18"/>
        </w:rPr>
        <w:t xml:space="preserve">başlanması </w:t>
      </w:r>
      <w:r w:rsidRPr="006D4EB0">
        <w:rPr>
          <w:rFonts w:ascii="Times New Roman" w:eastAsia="Times New Roman" w:hAnsi="Times New Roman" w:cs="Times New Roman"/>
          <w:sz w:val="18"/>
          <w:szCs w:val="18"/>
        </w:rPr>
        <w:t>halinde</w:t>
      </w:r>
      <w:r w:rsidRPr="006D4EB0">
        <w:rPr>
          <w:rFonts w:ascii="Times New Roman" w:eastAsia="Calibri" w:hAnsi="Times New Roman" w:cs="Times New Roman"/>
          <w:sz w:val="18"/>
          <w:szCs w:val="18"/>
        </w:rPr>
        <w:t>,”</w:t>
      </w:r>
    </w:p>
    <w:p w14:paraId="062F699A" w14:textId="77777777" w:rsidR="007D55B5" w:rsidRDefault="007D55B5" w:rsidP="007D55B5">
      <w:pPr>
        <w:tabs>
          <w:tab w:val="left" w:pos="709"/>
        </w:tabs>
        <w:spacing w:after="0" w:line="240" w:lineRule="auto"/>
        <w:ind w:firstLine="709"/>
        <w:jc w:val="both"/>
        <w:rPr>
          <w:rFonts w:ascii="Times New Roman" w:eastAsia="Times New Roman" w:hAnsi="Times New Roman" w:cs="Times New Roman"/>
          <w:sz w:val="18"/>
          <w:szCs w:val="18"/>
        </w:rPr>
      </w:pPr>
      <w:r w:rsidRPr="005463A1">
        <w:rPr>
          <w:rFonts w:ascii="Times New Roman" w:hAnsi="Times New Roman" w:cs="Times New Roman"/>
          <w:b/>
          <w:bCs/>
          <w:sz w:val="18"/>
          <w:szCs w:val="18"/>
        </w:rPr>
        <w:t>MADDE 7</w:t>
      </w:r>
      <w:r w:rsidRPr="005463A1">
        <w:rPr>
          <w:rFonts w:ascii="Times New Roman" w:hAnsi="Times New Roman" w:cs="Times New Roman"/>
          <w:bCs/>
          <w:sz w:val="18"/>
          <w:szCs w:val="18"/>
        </w:rPr>
        <w:t xml:space="preserve">- Aynı Tebliğin 4.2.33 </w:t>
      </w:r>
      <w:r w:rsidRPr="005463A1">
        <w:rPr>
          <w:rFonts w:ascii="Times New Roman" w:hAnsi="Times New Roman" w:cs="Times New Roman"/>
          <w:sz w:val="18"/>
          <w:szCs w:val="18"/>
        </w:rPr>
        <w:t>numaralı maddesinin dokuzuncu fıkrası</w:t>
      </w:r>
      <w:r>
        <w:rPr>
          <w:rFonts w:ascii="Times New Roman" w:hAnsi="Times New Roman" w:cs="Times New Roman"/>
          <w:sz w:val="18"/>
          <w:szCs w:val="18"/>
        </w:rPr>
        <w:t xml:space="preserve"> aşağıdaki şekilde değiştirilmiştir.</w:t>
      </w:r>
    </w:p>
    <w:p w14:paraId="63F2E9A6" w14:textId="77777777" w:rsidR="007D55B5" w:rsidRDefault="007D55B5" w:rsidP="007D55B5">
      <w:pPr>
        <w:spacing w:after="0" w:line="240" w:lineRule="auto"/>
        <w:ind w:firstLine="3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52FCD">
        <w:rPr>
          <w:rFonts w:ascii="Times New Roman" w:eastAsia="Times New Roman" w:hAnsi="Times New Roman" w:cs="Times New Roman"/>
          <w:sz w:val="18"/>
          <w:szCs w:val="18"/>
        </w:rPr>
        <w:t xml:space="preserve">(9) </w:t>
      </w:r>
      <w:proofErr w:type="spellStart"/>
      <w:r w:rsidRPr="00052FCD">
        <w:rPr>
          <w:rFonts w:ascii="Times New Roman" w:eastAsia="Times New Roman" w:hAnsi="Times New Roman" w:cs="Times New Roman"/>
          <w:sz w:val="18"/>
          <w:szCs w:val="18"/>
        </w:rPr>
        <w:t>Ranibizumab</w:t>
      </w:r>
      <w:proofErr w:type="spellEnd"/>
      <w:r w:rsidRPr="00052FCD">
        <w:rPr>
          <w:rFonts w:ascii="Times New Roman" w:eastAsia="Times New Roman" w:hAnsi="Times New Roman" w:cs="Times New Roman"/>
          <w:sz w:val="18"/>
          <w:szCs w:val="18"/>
        </w:rPr>
        <w:t xml:space="preserve"> </w:t>
      </w:r>
      <w:r w:rsidRPr="00E87801">
        <w:rPr>
          <w:rFonts w:ascii="Times New Roman" w:eastAsia="Times New Roman" w:hAnsi="Times New Roman" w:cs="Times New Roman"/>
          <w:sz w:val="18"/>
          <w:szCs w:val="18"/>
        </w:rPr>
        <w:t xml:space="preserve">veya 2 mg ve 8 mg </w:t>
      </w:r>
      <w:proofErr w:type="spellStart"/>
      <w:r w:rsidRPr="00E87801">
        <w:rPr>
          <w:rFonts w:ascii="Times New Roman" w:eastAsia="Times New Roman" w:hAnsi="Times New Roman" w:cs="Times New Roman"/>
          <w:sz w:val="18"/>
          <w:szCs w:val="18"/>
        </w:rPr>
        <w:t>aflibersept</w:t>
      </w:r>
      <w:proofErr w:type="spellEnd"/>
      <w:r w:rsidRPr="00E87801">
        <w:rPr>
          <w:rFonts w:ascii="Times New Roman" w:eastAsia="Times New Roman" w:hAnsi="Times New Roman" w:cs="Times New Roman"/>
          <w:sz w:val="18"/>
          <w:szCs w:val="18"/>
        </w:rPr>
        <w:t xml:space="preserve"> etkin maddeli ilaçlarda yükleme dozu; 4-6 hafta arayla ardışık 3 doz uygulamadır. </w:t>
      </w:r>
      <w:r w:rsidRPr="00B16675">
        <w:rPr>
          <w:rFonts w:ascii="Times New Roman" w:hAnsi="Times New Roman" w:cs="Times New Roman"/>
          <w:sz w:val="18"/>
          <w:szCs w:val="18"/>
        </w:rPr>
        <w:t xml:space="preserve">Diyabetik </w:t>
      </w:r>
      <w:proofErr w:type="spellStart"/>
      <w:r w:rsidRPr="00B16675">
        <w:rPr>
          <w:rFonts w:ascii="Times New Roman" w:hAnsi="Times New Roman" w:cs="Times New Roman"/>
          <w:sz w:val="18"/>
          <w:szCs w:val="18"/>
        </w:rPr>
        <w:t>Maküler</w:t>
      </w:r>
      <w:proofErr w:type="spellEnd"/>
      <w:r w:rsidRPr="00B16675">
        <w:rPr>
          <w:rFonts w:ascii="Times New Roman" w:hAnsi="Times New Roman" w:cs="Times New Roman"/>
          <w:sz w:val="18"/>
          <w:szCs w:val="18"/>
        </w:rPr>
        <w:t xml:space="preserve"> Ödem (DMÖ)’de </w:t>
      </w:r>
      <w:proofErr w:type="spellStart"/>
      <w:r w:rsidRPr="00B16675">
        <w:rPr>
          <w:rFonts w:ascii="Times New Roman" w:hAnsi="Times New Roman" w:cs="Times New Roman"/>
          <w:sz w:val="18"/>
          <w:szCs w:val="18"/>
        </w:rPr>
        <w:t>aflibersept</w:t>
      </w:r>
      <w:proofErr w:type="spellEnd"/>
      <w:r w:rsidRPr="00B16675">
        <w:rPr>
          <w:rFonts w:ascii="Times New Roman" w:hAnsi="Times New Roman" w:cs="Times New Roman"/>
          <w:sz w:val="18"/>
          <w:szCs w:val="18"/>
        </w:rPr>
        <w:t xml:space="preserve"> 2 mg etkin maddeli ilaç ile yükleme 5 doz olarak da uygulanabilir. Anti-VEGF ajanlar ile yükleme dozu tamamlandıktan sonra idame tedaviler hekim tarafından belirlenecek aralıklarda sağlanarak, tekrar ilaç gereksinimi durumunda son kullanılan etkin maddeli ilaç ile tedaviye devam edilebilecektir. </w:t>
      </w:r>
      <w:proofErr w:type="spellStart"/>
      <w:r w:rsidRPr="00B16675">
        <w:rPr>
          <w:rFonts w:ascii="Times New Roman" w:hAnsi="Times New Roman" w:cs="Times New Roman"/>
          <w:sz w:val="18"/>
          <w:szCs w:val="18"/>
        </w:rPr>
        <w:t>Aflibersept</w:t>
      </w:r>
      <w:proofErr w:type="spellEnd"/>
      <w:r w:rsidRPr="00B16675">
        <w:rPr>
          <w:rFonts w:ascii="Times New Roman" w:hAnsi="Times New Roman" w:cs="Times New Roman"/>
          <w:sz w:val="18"/>
          <w:szCs w:val="18"/>
        </w:rPr>
        <w:t xml:space="preserve"> 8 mg etkin maddeli ilaç için yükleme dozu tamamlandıktan sonra idame tedavi en erken 3 ay aralıklarla yapılacaktır. </w:t>
      </w:r>
      <w:proofErr w:type="spellStart"/>
      <w:r w:rsidRPr="00B16675">
        <w:rPr>
          <w:rFonts w:ascii="Times New Roman" w:hAnsi="Times New Roman" w:cs="Times New Roman"/>
          <w:sz w:val="18"/>
          <w:szCs w:val="18"/>
        </w:rPr>
        <w:t>Ranibizumab</w:t>
      </w:r>
      <w:proofErr w:type="spellEnd"/>
      <w:r w:rsidRPr="00B16675">
        <w:rPr>
          <w:rFonts w:ascii="Times New Roman" w:hAnsi="Times New Roman" w:cs="Times New Roman"/>
          <w:sz w:val="18"/>
          <w:szCs w:val="18"/>
        </w:rPr>
        <w:t xml:space="preserve"> veya </w:t>
      </w:r>
      <w:proofErr w:type="spellStart"/>
      <w:r w:rsidRPr="00B16675">
        <w:rPr>
          <w:rFonts w:ascii="Times New Roman" w:hAnsi="Times New Roman" w:cs="Times New Roman"/>
          <w:sz w:val="18"/>
          <w:szCs w:val="18"/>
        </w:rPr>
        <w:t>aflibersept</w:t>
      </w:r>
      <w:proofErr w:type="spellEnd"/>
      <w:r w:rsidRPr="00B16675">
        <w:rPr>
          <w:rFonts w:ascii="Times New Roman" w:hAnsi="Times New Roman" w:cs="Times New Roman"/>
          <w:sz w:val="18"/>
          <w:szCs w:val="18"/>
        </w:rPr>
        <w:t xml:space="preserve"> etkin maddeli ilaçlar için hekim tarafından gerekli görülmesi ve sağlık kurulu raporunda belirtilmesi halinde yükleme dozları tamamlanmaksızın da idame tedavilere geçilebilecektir.”</w:t>
      </w:r>
    </w:p>
    <w:p w14:paraId="78FA6D2F" w14:textId="77777777" w:rsidR="007D55B5" w:rsidRDefault="007D55B5" w:rsidP="007D55B5">
      <w:pPr>
        <w:tabs>
          <w:tab w:val="left" w:pos="566"/>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b/>
          <w:bCs/>
          <w:sz w:val="18"/>
          <w:szCs w:val="18"/>
        </w:rPr>
        <w:tab/>
        <w:t xml:space="preserve">   </w:t>
      </w:r>
      <w:r w:rsidRPr="005463A1">
        <w:rPr>
          <w:rFonts w:ascii="Times New Roman" w:hAnsi="Times New Roman" w:cs="Times New Roman"/>
          <w:b/>
          <w:bCs/>
          <w:sz w:val="18"/>
          <w:szCs w:val="18"/>
        </w:rPr>
        <w:t>MADDE 8</w:t>
      </w:r>
      <w:r w:rsidRPr="005463A1">
        <w:rPr>
          <w:rFonts w:ascii="Times New Roman" w:hAnsi="Times New Roman" w:cs="Times New Roman"/>
          <w:bCs/>
          <w:sz w:val="18"/>
          <w:szCs w:val="18"/>
        </w:rPr>
        <w:t xml:space="preserve">- Aynı Tebliğin 4.2.66 </w:t>
      </w:r>
      <w:r w:rsidRPr="005463A1">
        <w:rPr>
          <w:rFonts w:ascii="Times New Roman" w:hAnsi="Times New Roman" w:cs="Times New Roman"/>
          <w:sz w:val="18"/>
          <w:szCs w:val="18"/>
        </w:rPr>
        <w:t xml:space="preserve">numaralı maddesinin </w:t>
      </w:r>
      <w:r w:rsidRPr="00F079B8">
        <w:rPr>
          <w:rFonts w:ascii="Times New Roman" w:eastAsia="Times New Roman" w:hAnsi="Times New Roman" w:cs="Times New Roman"/>
          <w:bCs/>
          <w:sz w:val="18"/>
          <w:szCs w:val="18"/>
          <w:lang w:eastAsia="tr-TR"/>
        </w:rPr>
        <w:t>birinci fıkrasının son cümlesi</w:t>
      </w:r>
      <w:r>
        <w:rPr>
          <w:rFonts w:ascii="Times New Roman" w:eastAsia="Times New Roman" w:hAnsi="Times New Roman" w:cs="Times New Roman"/>
          <w:bCs/>
          <w:sz w:val="18"/>
          <w:szCs w:val="18"/>
          <w:lang w:eastAsia="tr-TR"/>
        </w:rPr>
        <w:t xml:space="preserve"> aşağıdaki şekilde değiştirilmiştir.</w:t>
      </w:r>
    </w:p>
    <w:p w14:paraId="3A3BA9E6" w14:textId="77777777" w:rsidR="007D55B5" w:rsidRDefault="007D55B5" w:rsidP="007D55B5">
      <w:pPr>
        <w:spacing w:after="0" w:line="240" w:lineRule="auto"/>
        <w:jc w:val="both"/>
        <w:rPr>
          <w:rFonts w:ascii="Times New Roman" w:hAnsi="Times New Roman" w:cs="Times New Roman"/>
          <w:bCs/>
          <w:sz w:val="18"/>
          <w:szCs w:val="18"/>
        </w:rPr>
      </w:pPr>
      <w:r w:rsidRPr="005463A1">
        <w:rPr>
          <w:rFonts w:ascii="Times New Roman" w:hAnsi="Times New Roman" w:cs="Times New Roman"/>
          <w:bCs/>
          <w:sz w:val="18"/>
          <w:szCs w:val="18"/>
        </w:rPr>
        <w:t>“Kombine FSH-LH preparatları</w:t>
      </w:r>
      <w:r>
        <w:rPr>
          <w:rFonts w:ascii="Times New Roman" w:hAnsi="Times New Roman" w:cs="Times New Roman"/>
          <w:bCs/>
          <w:sz w:val="18"/>
          <w:szCs w:val="18"/>
        </w:rPr>
        <w:t xml:space="preserve"> en fazla</w:t>
      </w:r>
      <w:r w:rsidRPr="005463A1">
        <w:rPr>
          <w:rFonts w:ascii="Times New Roman" w:hAnsi="Times New Roman" w:cs="Times New Roman"/>
          <w:bCs/>
          <w:sz w:val="18"/>
          <w:szCs w:val="18"/>
        </w:rPr>
        <w:t xml:space="preserve"> 750 </w:t>
      </w:r>
      <w:r w:rsidRPr="00D01AFE">
        <w:rPr>
          <w:rFonts w:ascii="Times New Roman" w:hAnsi="Times New Roman" w:cs="Times New Roman"/>
          <w:bCs/>
          <w:sz w:val="18"/>
          <w:szCs w:val="18"/>
        </w:rPr>
        <w:t>IU</w:t>
      </w:r>
      <w:r w:rsidRPr="005463A1">
        <w:rPr>
          <w:rFonts w:ascii="Times New Roman" w:hAnsi="Times New Roman" w:cs="Times New Roman"/>
          <w:bCs/>
          <w:sz w:val="18"/>
          <w:szCs w:val="18"/>
        </w:rPr>
        <w:t xml:space="preserve">/hafta dozda, </w:t>
      </w:r>
      <w:proofErr w:type="spellStart"/>
      <w:r w:rsidRPr="005463A1">
        <w:rPr>
          <w:rFonts w:ascii="Times New Roman" w:hAnsi="Times New Roman" w:cs="Times New Roman"/>
          <w:bCs/>
          <w:sz w:val="18"/>
          <w:szCs w:val="18"/>
        </w:rPr>
        <w:t>koryogonadotropin</w:t>
      </w:r>
      <w:proofErr w:type="spellEnd"/>
      <w:r w:rsidRPr="005463A1">
        <w:rPr>
          <w:rFonts w:ascii="Times New Roman" w:hAnsi="Times New Roman" w:cs="Times New Roman"/>
          <w:bCs/>
          <w:sz w:val="18"/>
          <w:szCs w:val="18"/>
        </w:rPr>
        <w:t xml:space="preserve"> alfa etkin maddeli ilaçlar</w:t>
      </w:r>
      <w:r>
        <w:rPr>
          <w:rFonts w:ascii="Times New Roman" w:hAnsi="Times New Roman" w:cs="Times New Roman"/>
          <w:bCs/>
          <w:sz w:val="18"/>
          <w:szCs w:val="18"/>
        </w:rPr>
        <w:t xml:space="preserve"> en fazla</w:t>
      </w:r>
      <w:r w:rsidRPr="005463A1">
        <w:rPr>
          <w:rFonts w:ascii="Times New Roman" w:hAnsi="Times New Roman" w:cs="Times New Roman"/>
          <w:bCs/>
          <w:sz w:val="18"/>
          <w:szCs w:val="18"/>
        </w:rPr>
        <w:t xml:space="preserve"> 500 </w:t>
      </w:r>
      <w:proofErr w:type="spellStart"/>
      <w:r w:rsidRPr="005463A1">
        <w:rPr>
          <w:rFonts w:ascii="Times New Roman" w:hAnsi="Times New Roman" w:cs="Times New Roman"/>
          <w:bCs/>
          <w:sz w:val="18"/>
          <w:szCs w:val="18"/>
        </w:rPr>
        <w:t>mcg</w:t>
      </w:r>
      <w:proofErr w:type="spellEnd"/>
      <w:r w:rsidRPr="005463A1">
        <w:rPr>
          <w:rFonts w:ascii="Times New Roman" w:hAnsi="Times New Roman" w:cs="Times New Roman"/>
          <w:bCs/>
          <w:sz w:val="18"/>
          <w:szCs w:val="18"/>
        </w:rPr>
        <w:t xml:space="preserve">/hafta dozda kullanılabilir.” </w:t>
      </w:r>
    </w:p>
    <w:p w14:paraId="1DF19FEB" w14:textId="77777777" w:rsidR="007D55B5" w:rsidRDefault="007D55B5" w:rsidP="007D55B5">
      <w:pPr>
        <w:tabs>
          <w:tab w:val="left" w:pos="709"/>
        </w:tabs>
        <w:spacing w:after="0" w:line="240" w:lineRule="auto"/>
        <w:ind w:left="708" w:firstLine="1"/>
        <w:jc w:val="both"/>
        <w:outlineLvl w:val="4"/>
        <w:rPr>
          <w:rFonts w:ascii="Times New Roman" w:eastAsia="ヒラギノ明朝 Pro W3" w:hAnsi="Times New Roman" w:cs="Times New Roman"/>
          <w:color w:val="000000" w:themeColor="text1"/>
          <w:sz w:val="18"/>
          <w:szCs w:val="18"/>
        </w:rPr>
      </w:pPr>
      <w:r w:rsidRPr="00473ACC">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9</w:t>
      </w:r>
      <w:r w:rsidRPr="00473ACC">
        <w:rPr>
          <w:rFonts w:ascii="Times New Roman" w:eastAsia="Times New Roman" w:hAnsi="Times New Roman" w:cs="Times New Roman"/>
          <w:b/>
          <w:bCs/>
          <w:sz w:val="18"/>
          <w:szCs w:val="18"/>
          <w:lang w:eastAsia="tr-TR"/>
        </w:rPr>
        <w:t>-</w:t>
      </w:r>
      <w:r w:rsidRPr="004A750D">
        <w:rPr>
          <w:rFonts w:ascii="Times New Roman" w:hAnsi="Times New Roman" w:cs="Times New Roman"/>
          <w:sz w:val="18"/>
          <w:szCs w:val="18"/>
        </w:rPr>
        <w:t xml:space="preserve"> </w:t>
      </w:r>
      <w:r w:rsidRPr="002104AE">
        <w:rPr>
          <w:rFonts w:ascii="Times New Roman" w:hAnsi="Times New Roman" w:cs="Times New Roman"/>
          <w:sz w:val="18"/>
          <w:szCs w:val="18"/>
        </w:rPr>
        <w:t>Aynı Tebliğ eki</w:t>
      </w:r>
      <w:r>
        <w:rPr>
          <w:rFonts w:ascii="Times New Roman" w:eastAsia="Times New Roman" w:hAnsi="Times New Roman" w:cs="Times New Roman"/>
          <w:bCs/>
          <w:sz w:val="18"/>
          <w:szCs w:val="18"/>
          <w:lang w:eastAsia="tr-TR"/>
        </w:rPr>
        <w:t xml:space="preserve"> </w:t>
      </w:r>
      <w:r w:rsidRPr="005E0C5F">
        <w:rPr>
          <w:rFonts w:ascii="Times New Roman" w:eastAsia="Times New Roman" w:hAnsi="Times New Roman" w:cs="Times New Roman"/>
          <w:bCs/>
          <w:sz w:val="18"/>
          <w:szCs w:val="18"/>
          <w:lang w:eastAsia="tr-TR"/>
        </w:rPr>
        <w:t xml:space="preserve">“Bedeli Ödenecek İlaçlar Listesi (EK-4/A)” </w:t>
      </w:r>
      <w:r>
        <w:rPr>
          <w:rFonts w:ascii="Times New Roman" w:eastAsia="Calibri" w:hAnsi="Times New Roman" w:cs="Times New Roman"/>
          <w:sz w:val="18"/>
          <w:szCs w:val="18"/>
        </w:rPr>
        <w:t>ekteki</w:t>
      </w:r>
      <w:r w:rsidRPr="009D2B53">
        <w:rPr>
          <w:rFonts w:ascii="Times New Roman" w:eastAsia="ヒラギノ明朝 Pro W3" w:hAnsi="Times New Roman" w:cs="Times New Roman"/>
          <w:color w:val="000000" w:themeColor="text1"/>
          <w:sz w:val="18"/>
          <w:szCs w:val="18"/>
        </w:rPr>
        <w:t xml:space="preserve"> </w:t>
      </w:r>
      <w:r w:rsidRPr="00F11A99">
        <w:rPr>
          <w:rFonts w:ascii="Times New Roman" w:eastAsia="ヒラギノ明朝 Pro W3" w:hAnsi="Times New Roman" w:cs="Times New Roman"/>
          <w:color w:val="000000" w:themeColor="text1"/>
          <w:sz w:val="18"/>
          <w:szCs w:val="18"/>
        </w:rPr>
        <w:t>şekilde değiştirilmiştir.</w:t>
      </w:r>
    </w:p>
    <w:p w14:paraId="5990B929" w14:textId="77777777" w:rsidR="007D55B5" w:rsidRDefault="007D55B5" w:rsidP="007D55B5">
      <w:pPr>
        <w:tabs>
          <w:tab w:val="left" w:pos="709"/>
        </w:tabs>
        <w:spacing w:after="0" w:line="240" w:lineRule="auto"/>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Pr="00473ACC">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10</w:t>
      </w:r>
      <w:r w:rsidRPr="00473ACC">
        <w:rPr>
          <w:rFonts w:ascii="Times New Roman" w:eastAsia="Times New Roman" w:hAnsi="Times New Roman" w:cs="Times New Roman"/>
          <w:b/>
          <w:bCs/>
          <w:sz w:val="18"/>
          <w:szCs w:val="18"/>
          <w:lang w:eastAsia="tr-TR"/>
        </w:rPr>
        <w:t>-</w:t>
      </w:r>
      <w:r w:rsidRPr="00473ACC">
        <w:rPr>
          <w:rFonts w:ascii="Times New Roman" w:eastAsia="Times New Roman" w:hAnsi="Times New Roman" w:cs="Times New Roman"/>
          <w:bCs/>
          <w:sz w:val="18"/>
          <w:szCs w:val="18"/>
          <w:lang w:eastAsia="tr-TR"/>
        </w:rPr>
        <w:t xml:space="preserve"> Aynı Tebliğ eki “Hasta Katılım Payından Muaf İlaçlar Listesi (EK-4/D)” </w:t>
      </w:r>
      <w:proofErr w:type="spellStart"/>
      <w:r w:rsidRPr="00473ACC">
        <w:rPr>
          <w:rFonts w:ascii="Times New Roman" w:eastAsia="Times New Roman" w:hAnsi="Times New Roman" w:cs="Times New Roman"/>
          <w:bCs/>
          <w:sz w:val="18"/>
          <w:szCs w:val="18"/>
          <w:lang w:eastAsia="tr-TR"/>
        </w:rPr>
        <w:t>nde</w:t>
      </w:r>
      <w:proofErr w:type="spellEnd"/>
      <w:r w:rsidRPr="00473ACC">
        <w:rPr>
          <w:rFonts w:ascii="Times New Roman" w:eastAsia="Times New Roman" w:hAnsi="Times New Roman" w:cs="Times New Roman"/>
          <w:bCs/>
          <w:sz w:val="18"/>
          <w:szCs w:val="18"/>
          <w:lang w:eastAsia="tr-TR"/>
        </w:rPr>
        <w:t xml:space="preserve"> aşağıdaki düzenlemeler </w:t>
      </w:r>
      <w:r>
        <w:rPr>
          <w:rFonts w:ascii="Times New Roman" w:eastAsia="Times New Roman" w:hAnsi="Times New Roman" w:cs="Times New Roman"/>
          <w:bCs/>
          <w:sz w:val="18"/>
          <w:szCs w:val="18"/>
          <w:lang w:eastAsia="tr-TR"/>
        </w:rPr>
        <w:t>y</w:t>
      </w:r>
      <w:r w:rsidRPr="00473ACC">
        <w:rPr>
          <w:rFonts w:ascii="Times New Roman" w:eastAsia="Times New Roman" w:hAnsi="Times New Roman" w:cs="Times New Roman"/>
          <w:bCs/>
          <w:sz w:val="18"/>
          <w:szCs w:val="18"/>
          <w:lang w:eastAsia="tr-TR"/>
        </w:rPr>
        <w:t xml:space="preserve">apılmıştır. </w:t>
      </w:r>
    </w:p>
    <w:p w14:paraId="201C3BFA" w14:textId="06AA7C25" w:rsidR="007D55B5" w:rsidRDefault="007D55B5" w:rsidP="007D55B5">
      <w:pPr>
        <w:spacing w:after="0" w:line="240" w:lineRule="auto"/>
        <w:ind w:firstLine="708"/>
        <w:jc w:val="both"/>
        <w:rPr>
          <w:rFonts w:ascii="Times New Roman" w:hAnsi="Times New Roman" w:cs="Times New Roman"/>
          <w:sz w:val="18"/>
          <w:szCs w:val="18"/>
        </w:rPr>
      </w:pPr>
      <w:r w:rsidRPr="000C3865">
        <w:rPr>
          <w:rFonts w:ascii="Times New Roman" w:eastAsia="Times New Roman" w:hAnsi="Times New Roman" w:cs="Times New Roman"/>
          <w:bCs/>
          <w:sz w:val="18"/>
          <w:szCs w:val="18"/>
          <w:lang w:eastAsia="tr-TR"/>
        </w:rPr>
        <w:t>a)</w:t>
      </w:r>
      <w:r>
        <w:rPr>
          <w:rFonts w:ascii="Times New Roman" w:eastAsia="Times New Roman" w:hAnsi="Times New Roman" w:cs="Times New Roman"/>
          <w:bCs/>
          <w:sz w:val="18"/>
          <w:szCs w:val="18"/>
          <w:lang w:eastAsia="tr-TR"/>
        </w:rPr>
        <w:t xml:space="preserve"> </w:t>
      </w:r>
      <w:r w:rsidRPr="00FC6209">
        <w:rPr>
          <w:rFonts w:ascii="Times New Roman" w:hAnsi="Times New Roman" w:cs="Times New Roman"/>
          <w:sz w:val="18"/>
          <w:szCs w:val="18"/>
        </w:rPr>
        <w:t>Listenin</w:t>
      </w:r>
      <w:r>
        <w:rPr>
          <w:rFonts w:ascii="Times New Roman" w:hAnsi="Times New Roman" w:cs="Times New Roman"/>
          <w:sz w:val="18"/>
          <w:szCs w:val="18"/>
        </w:rPr>
        <w:t xml:space="preserve"> 1 numaralı maddesinin başlığına “</w:t>
      </w:r>
      <w:r w:rsidRPr="00FD5B27">
        <w:rPr>
          <w:rFonts w:ascii="Times New Roman" w:eastAsia="Times New Roman" w:hAnsi="Times New Roman" w:cs="Times New Roman"/>
          <w:bCs/>
          <w:sz w:val="18"/>
          <w:szCs w:val="18"/>
        </w:rPr>
        <w:t>(A15-A19</w:t>
      </w:r>
      <w:r w:rsidRPr="00FD5B27">
        <w:rPr>
          <w:rFonts w:ascii="Times New Roman" w:hAnsi="Times New Roman" w:cs="Times New Roman"/>
          <w:sz w:val="18"/>
          <w:szCs w:val="18"/>
        </w:rPr>
        <w:t>)</w:t>
      </w:r>
      <w:r>
        <w:rPr>
          <w:rFonts w:ascii="Times New Roman" w:hAnsi="Times New Roman" w:cs="Times New Roman"/>
          <w:sz w:val="18"/>
          <w:szCs w:val="18"/>
        </w:rPr>
        <w:t>”</w:t>
      </w:r>
      <w:r>
        <w:rPr>
          <w:rFonts w:ascii="Times New Roman" w:eastAsia="Times New Roman" w:hAnsi="Times New Roman" w:cs="Times New Roman"/>
          <w:b/>
          <w:bCs/>
          <w:sz w:val="18"/>
          <w:szCs w:val="18"/>
        </w:rPr>
        <w:t xml:space="preserve"> </w:t>
      </w:r>
      <w:r w:rsidRPr="00FC6209">
        <w:rPr>
          <w:rFonts w:ascii="Times New Roman" w:hAnsi="Times New Roman" w:cs="Times New Roman"/>
          <w:sz w:val="18"/>
          <w:szCs w:val="18"/>
        </w:rPr>
        <w:t>ibaresinden sonra gelmek üzere</w:t>
      </w:r>
      <w:r>
        <w:rPr>
          <w:rFonts w:ascii="Times New Roman" w:hAnsi="Times New Roman" w:cs="Times New Roman"/>
          <w:sz w:val="18"/>
          <w:szCs w:val="18"/>
        </w:rPr>
        <w:t xml:space="preserve"> </w:t>
      </w:r>
      <w:r w:rsidRPr="00B41DF2">
        <w:rPr>
          <w:rFonts w:ascii="Times New Roman" w:hAnsi="Times New Roman" w:cs="Times New Roman"/>
          <w:sz w:val="18"/>
          <w:szCs w:val="18"/>
        </w:rPr>
        <w:t>“</w:t>
      </w:r>
      <w:r w:rsidRPr="007A01E2">
        <w:rPr>
          <w:rFonts w:ascii="Times New Roman" w:hAnsi="Times New Roman" w:cs="Times New Roman"/>
          <w:b/>
          <w:sz w:val="18"/>
          <w:szCs w:val="18"/>
        </w:rPr>
        <w:t>(A31)</w:t>
      </w:r>
      <w:r w:rsidRPr="00B41DF2">
        <w:rPr>
          <w:rFonts w:ascii="Times New Roman" w:hAnsi="Times New Roman" w:cs="Times New Roman"/>
          <w:sz w:val="18"/>
          <w:szCs w:val="18"/>
        </w:rPr>
        <w:t>”</w:t>
      </w:r>
      <w:r w:rsidRPr="007A01E2">
        <w:rPr>
          <w:rFonts w:ascii="Times New Roman" w:hAnsi="Times New Roman" w:cs="Times New Roman"/>
          <w:sz w:val="18"/>
          <w:szCs w:val="18"/>
        </w:rPr>
        <w:t xml:space="preserve"> </w:t>
      </w:r>
      <w:r w:rsidRPr="007A01E2">
        <w:rPr>
          <w:rFonts w:ascii="Times New Roman" w:eastAsia="Times New Roman" w:hAnsi="Times New Roman" w:cs="Times New Roman"/>
          <w:bCs/>
          <w:sz w:val="18"/>
          <w:szCs w:val="18"/>
          <w:lang w:eastAsia="tr-TR"/>
        </w:rPr>
        <w:t>ibaresi</w:t>
      </w:r>
      <w:r>
        <w:rPr>
          <w:rFonts w:ascii="Times New Roman" w:eastAsia="Times New Roman" w:hAnsi="Times New Roman" w:cs="Times New Roman"/>
          <w:bCs/>
          <w:sz w:val="18"/>
          <w:szCs w:val="18"/>
          <w:lang w:eastAsia="tr-TR"/>
        </w:rPr>
        <w:t xml:space="preserve"> ve aynı</w:t>
      </w:r>
      <w:r>
        <w:rPr>
          <w:rFonts w:ascii="Times New Roman" w:hAnsi="Times New Roman" w:cs="Times New Roman"/>
          <w:sz w:val="18"/>
          <w:szCs w:val="18"/>
        </w:rPr>
        <w:t xml:space="preserve"> maddeye A19.9 numaralı satırdan sonra gelmek üzere aşağıdaki satırlar eklenmiştir.</w:t>
      </w:r>
    </w:p>
    <w:p w14:paraId="7635B6BD" w14:textId="77777777" w:rsidR="007D55B5" w:rsidRDefault="007D55B5" w:rsidP="007D5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7371"/>
      </w:tblGrid>
      <w:tr w:rsidR="007D55B5" w:rsidRPr="002E05B3" w14:paraId="7ECA99A4" w14:textId="77777777" w:rsidTr="00E04BCE">
        <w:trPr>
          <w:trHeight w:val="259"/>
        </w:trPr>
        <w:tc>
          <w:tcPr>
            <w:tcW w:w="1696" w:type="dxa"/>
            <w:tcMar>
              <w:top w:w="0" w:type="dxa"/>
              <w:left w:w="70" w:type="dxa"/>
              <w:bottom w:w="0" w:type="dxa"/>
              <w:right w:w="70" w:type="dxa"/>
            </w:tcMar>
            <w:vAlign w:val="center"/>
          </w:tcPr>
          <w:p w14:paraId="05B07776"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b/>
                <w:sz w:val="18"/>
                <w:szCs w:val="18"/>
              </w:rPr>
              <w:t>A31</w:t>
            </w:r>
          </w:p>
        </w:tc>
        <w:tc>
          <w:tcPr>
            <w:tcW w:w="7371" w:type="dxa"/>
            <w:tcMar>
              <w:top w:w="0" w:type="dxa"/>
              <w:left w:w="70" w:type="dxa"/>
              <w:bottom w:w="0" w:type="dxa"/>
              <w:right w:w="70" w:type="dxa"/>
            </w:tcMar>
            <w:vAlign w:val="center"/>
          </w:tcPr>
          <w:p w14:paraId="5DE394A6"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b/>
                <w:sz w:val="18"/>
                <w:szCs w:val="18"/>
              </w:rPr>
              <w:t xml:space="preserve">Diğer </w:t>
            </w:r>
            <w:r>
              <w:rPr>
                <w:rFonts w:ascii="Times New Roman" w:hAnsi="Times New Roman" w:cs="Times New Roman"/>
                <w:b/>
                <w:sz w:val="18"/>
                <w:szCs w:val="18"/>
              </w:rPr>
              <w:t>m</w:t>
            </w:r>
            <w:r w:rsidRPr="002E05B3">
              <w:rPr>
                <w:rFonts w:ascii="Times New Roman" w:hAnsi="Times New Roman" w:cs="Times New Roman"/>
                <w:b/>
                <w:sz w:val="18"/>
                <w:szCs w:val="18"/>
              </w:rPr>
              <w:t>ikobakteri türlerine bağlı enfeksiyon</w:t>
            </w:r>
          </w:p>
        </w:tc>
      </w:tr>
      <w:tr w:rsidR="007D55B5" w:rsidRPr="002E05B3" w14:paraId="7197749B" w14:textId="77777777" w:rsidTr="00E04BCE">
        <w:trPr>
          <w:trHeight w:val="277"/>
        </w:trPr>
        <w:tc>
          <w:tcPr>
            <w:tcW w:w="1696" w:type="dxa"/>
            <w:tcMar>
              <w:top w:w="0" w:type="dxa"/>
              <w:left w:w="70" w:type="dxa"/>
              <w:bottom w:w="0" w:type="dxa"/>
              <w:right w:w="70" w:type="dxa"/>
            </w:tcMar>
            <w:vAlign w:val="center"/>
          </w:tcPr>
          <w:p w14:paraId="3D7513A7"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sz w:val="18"/>
                <w:szCs w:val="18"/>
              </w:rPr>
              <w:t>A31.0</w:t>
            </w:r>
          </w:p>
        </w:tc>
        <w:tc>
          <w:tcPr>
            <w:tcW w:w="7371" w:type="dxa"/>
            <w:tcMar>
              <w:top w:w="0" w:type="dxa"/>
              <w:left w:w="70" w:type="dxa"/>
              <w:bottom w:w="0" w:type="dxa"/>
              <w:right w:w="70" w:type="dxa"/>
            </w:tcMar>
            <w:vAlign w:val="center"/>
          </w:tcPr>
          <w:p w14:paraId="4F7FB6DF" w14:textId="77777777" w:rsidR="007D55B5" w:rsidRPr="002E05B3" w:rsidRDefault="007D55B5" w:rsidP="00E04BCE">
            <w:pPr>
              <w:spacing w:after="0" w:line="240" w:lineRule="auto"/>
              <w:rPr>
                <w:rFonts w:ascii="Times New Roman" w:hAnsi="Times New Roman" w:cs="Times New Roman"/>
                <w:sz w:val="18"/>
                <w:szCs w:val="18"/>
                <w:lang w:eastAsia="tr-TR"/>
              </w:rPr>
            </w:pPr>
            <w:proofErr w:type="spellStart"/>
            <w:r w:rsidRPr="002E05B3">
              <w:rPr>
                <w:rFonts w:ascii="Times New Roman" w:hAnsi="Times New Roman" w:cs="Times New Roman"/>
                <w:sz w:val="18"/>
                <w:szCs w:val="18"/>
              </w:rPr>
              <w:t>Pulmoner</w:t>
            </w:r>
            <w:proofErr w:type="spellEnd"/>
            <w:r w:rsidRPr="002E05B3">
              <w:rPr>
                <w:rFonts w:ascii="Times New Roman" w:hAnsi="Times New Roman" w:cs="Times New Roman"/>
                <w:sz w:val="18"/>
                <w:szCs w:val="18"/>
              </w:rPr>
              <w:t xml:space="preserve"> mikobakteri enfeksiyonu</w:t>
            </w:r>
          </w:p>
        </w:tc>
      </w:tr>
      <w:tr w:rsidR="007D55B5" w:rsidRPr="002E05B3" w14:paraId="12B399CA" w14:textId="77777777" w:rsidTr="00E04BCE">
        <w:trPr>
          <w:trHeight w:val="268"/>
        </w:trPr>
        <w:tc>
          <w:tcPr>
            <w:tcW w:w="1696" w:type="dxa"/>
            <w:tcMar>
              <w:top w:w="0" w:type="dxa"/>
              <w:left w:w="70" w:type="dxa"/>
              <w:bottom w:w="0" w:type="dxa"/>
              <w:right w:w="70" w:type="dxa"/>
            </w:tcMar>
            <w:vAlign w:val="center"/>
          </w:tcPr>
          <w:p w14:paraId="5A615837"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sz w:val="18"/>
                <w:szCs w:val="18"/>
              </w:rPr>
              <w:t>A31.1</w:t>
            </w:r>
          </w:p>
        </w:tc>
        <w:tc>
          <w:tcPr>
            <w:tcW w:w="7371" w:type="dxa"/>
            <w:tcMar>
              <w:top w:w="0" w:type="dxa"/>
              <w:left w:w="70" w:type="dxa"/>
              <w:bottom w:w="0" w:type="dxa"/>
              <w:right w:w="70" w:type="dxa"/>
            </w:tcMar>
            <w:vAlign w:val="center"/>
          </w:tcPr>
          <w:p w14:paraId="63822433"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sz w:val="18"/>
                <w:szCs w:val="18"/>
              </w:rPr>
              <w:t>Kutanöz mikobakteri enfeksiyonu</w:t>
            </w:r>
          </w:p>
        </w:tc>
      </w:tr>
      <w:tr w:rsidR="007D55B5" w:rsidRPr="002E05B3" w14:paraId="50058B82" w14:textId="77777777" w:rsidTr="00E04BCE">
        <w:trPr>
          <w:trHeight w:val="268"/>
        </w:trPr>
        <w:tc>
          <w:tcPr>
            <w:tcW w:w="1696" w:type="dxa"/>
            <w:tcMar>
              <w:top w:w="0" w:type="dxa"/>
              <w:left w:w="70" w:type="dxa"/>
              <w:bottom w:w="0" w:type="dxa"/>
              <w:right w:w="70" w:type="dxa"/>
            </w:tcMar>
            <w:vAlign w:val="center"/>
          </w:tcPr>
          <w:p w14:paraId="0F1F8505"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sz w:val="18"/>
                <w:szCs w:val="18"/>
              </w:rPr>
              <w:t>A31.8</w:t>
            </w:r>
          </w:p>
        </w:tc>
        <w:tc>
          <w:tcPr>
            <w:tcW w:w="7371" w:type="dxa"/>
            <w:tcMar>
              <w:top w:w="0" w:type="dxa"/>
              <w:left w:w="70" w:type="dxa"/>
              <w:bottom w:w="0" w:type="dxa"/>
              <w:right w:w="70" w:type="dxa"/>
            </w:tcMar>
            <w:vAlign w:val="center"/>
          </w:tcPr>
          <w:p w14:paraId="473ED1DB"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sz w:val="18"/>
                <w:szCs w:val="18"/>
              </w:rPr>
              <w:t>Mikobakteri enfeksiyonları, diğer</w:t>
            </w:r>
          </w:p>
        </w:tc>
      </w:tr>
      <w:tr w:rsidR="007D55B5" w:rsidRPr="002E05B3" w14:paraId="722502CA" w14:textId="77777777" w:rsidTr="00E04BCE">
        <w:trPr>
          <w:trHeight w:val="268"/>
        </w:trPr>
        <w:tc>
          <w:tcPr>
            <w:tcW w:w="1696" w:type="dxa"/>
            <w:tcMar>
              <w:top w:w="0" w:type="dxa"/>
              <w:left w:w="70" w:type="dxa"/>
              <w:bottom w:w="0" w:type="dxa"/>
              <w:right w:w="70" w:type="dxa"/>
            </w:tcMar>
            <w:vAlign w:val="center"/>
          </w:tcPr>
          <w:p w14:paraId="7FC5E8F8"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sz w:val="18"/>
                <w:szCs w:val="18"/>
              </w:rPr>
              <w:t>A31.9</w:t>
            </w:r>
          </w:p>
        </w:tc>
        <w:tc>
          <w:tcPr>
            <w:tcW w:w="7371" w:type="dxa"/>
            <w:tcMar>
              <w:top w:w="0" w:type="dxa"/>
              <w:left w:w="70" w:type="dxa"/>
              <w:bottom w:w="0" w:type="dxa"/>
              <w:right w:w="70" w:type="dxa"/>
            </w:tcMar>
            <w:vAlign w:val="center"/>
          </w:tcPr>
          <w:p w14:paraId="66875DC4" w14:textId="77777777" w:rsidR="007D55B5" w:rsidRPr="002E05B3" w:rsidRDefault="007D55B5" w:rsidP="00E04BCE">
            <w:pPr>
              <w:spacing w:after="0" w:line="240" w:lineRule="auto"/>
              <w:rPr>
                <w:rFonts w:ascii="Times New Roman" w:hAnsi="Times New Roman" w:cs="Times New Roman"/>
                <w:sz w:val="18"/>
                <w:szCs w:val="18"/>
                <w:lang w:eastAsia="tr-TR"/>
              </w:rPr>
            </w:pPr>
            <w:r w:rsidRPr="002E05B3">
              <w:rPr>
                <w:rFonts w:ascii="Times New Roman" w:hAnsi="Times New Roman" w:cs="Times New Roman"/>
                <w:sz w:val="18"/>
                <w:szCs w:val="18"/>
              </w:rPr>
              <w:t>Mikobakteri enfeksiyonu, tanımlanmamış</w:t>
            </w:r>
          </w:p>
        </w:tc>
      </w:tr>
    </w:tbl>
    <w:p w14:paraId="10E8F061" w14:textId="77777777" w:rsidR="007D55B5" w:rsidRDefault="007D55B5" w:rsidP="007D5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535A696B" w14:textId="77777777" w:rsidR="007D55B5" w:rsidRDefault="007D55B5" w:rsidP="00D2420E">
      <w:pPr>
        <w:spacing w:after="0" w:line="240" w:lineRule="auto"/>
        <w:ind w:firstLine="708"/>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 xml:space="preserve">b) Listenin 1.2 </w:t>
      </w:r>
      <w:r>
        <w:rPr>
          <w:rFonts w:ascii="Times New Roman" w:hAnsi="Times New Roman" w:cs="Times New Roman"/>
          <w:sz w:val="18"/>
          <w:szCs w:val="18"/>
        </w:rPr>
        <w:t xml:space="preserve">numaralı </w:t>
      </w:r>
      <w:r w:rsidRPr="002104AE">
        <w:rPr>
          <w:rFonts w:ascii="Times New Roman" w:hAnsi="Times New Roman" w:cs="Times New Roman"/>
          <w:sz w:val="18"/>
          <w:szCs w:val="18"/>
        </w:rPr>
        <w:t>maddesine aşağıdaki alt madde</w:t>
      </w:r>
      <w:r>
        <w:rPr>
          <w:rFonts w:ascii="Times New Roman" w:hAnsi="Times New Roman" w:cs="Times New Roman"/>
          <w:sz w:val="18"/>
          <w:szCs w:val="18"/>
        </w:rPr>
        <w:t>ler</w:t>
      </w:r>
      <w:r w:rsidRPr="002104AE">
        <w:rPr>
          <w:rFonts w:ascii="Times New Roman" w:hAnsi="Times New Roman" w:cs="Times New Roman"/>
          <w:sz w:val="18"/>
          <w:szCs w:val="18"/>
        </w:rPr>
        <w:t xml:space="preserve"> eklenmiştir</w:t>
      </w:r>
      <w:r>
        <w:rPr>
          <w:rFonts w:ascii="Times New Roman" w:hAnsi="Times New Roman" w:cs="Times New Roman"/>
          <w:sz w:val="18"/>
          <w:szCs w:val="18"/>
        </w:rPr>
        <w:t>.</w:t>
      </w:r>
    </w:p>
    <w:p w14:paraId="4E8AFFD8" w14:textId="77777777" w:rsidR="007D55B5" w:rsidRPr="00E30713" w:rsidRDefault="007D55B5" w:rsidP="00D2420E">
      <w:pPr>
        <w:tabs>
          <w:tab w:val="left" w:pos="741"/>
          <w:tab w:val="left" w:pos="1596"/>
          <w:tab w:val="left" w:pos="2622"/>
          <w:tab w:val="left" w:pos="3933"/>
        </w:tabs>
        <w:spacing w:after="0" w:line="240" w:lineRule="auto"/>
        <w:jc w:val="both"/>
        <w:rPr>
          <w:rFonts w:ascii="Times New Roman" w:hAnsi="Times New Roman" w:cs="Times New Roman"/>
          <w:sz w:val="18"/>
          <w:szCs w:val="18"/>
        </w:rPr>
      </w:pPr>
      <w:r w:rsidRPr="00E30713">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               </w:t>
      </w:r>
      <w:r w:rsidRPr="00E30713">
        <w:rPr>
          <w:rFonts w:ascii="Times New Roman" w:eastAsia="Times New Roman" w:hAnsi="Times New Roman" w:cs="Times New Roman"/>
          <w:bCs/>
          <w:sz w:val="18"/>
          <w:szCs w:val="18"/>
          <w:lang w:eastAsia="tr-TR"/>
        </w:rPr>
        <w:t>“</w:t>
      </w:r>
      <w:r w:rsidRPr="00E30713">
        <w:rPr>
          <w:rFonts w:ascii="Times New Roman" w:eastAsia="Times New Roman" w:hAnsi="Times New Roman" w:cs="Times New Roman"/>
          <w:sz w:val="18"/>
          <w:szCs w:val="18"/>
        </w:rPr>
        <w:t xml:space="preserve">1.2.12. </w:t>
      </w:r>
      <w:proofErr w:type="spellStart"/>
      <w:r w:rsidRPr="00E30713">
        <w:rPr>
          <w:rFonts w:ascii="Times New Roman" w:eastAsia="Times New Roman" w:hAnsi="Times New Roman" w:cs="Times New Roman"/>
          <w:sz w:val="18"/>
          <w:szCs w:val="18"/>
        </w:rPr>
        <w:t>Kinolon</w:t>
      </w:r>
      <w:proofErr w:type="spellEnd"/>
      <w:r w:rsidRPr="00E30713">
        <w:rPr>
          <w:rFonts w:ascii="Times New Roman" w:eastAsia="Times New Roman" w:hAnsi="Times New Roman" w:cs="Times New Roman"/>
          <w:sz w:val="18"/>
          <w:szCs w:val="18"/>
        </w:rPr>
        <w:t xml:space="preserve"> grubu antibiyotikler </w:t>
      </w:r>
      <w:r w:rsidRPr="00E30713">
        <w:rPr>
          <w:rFonts w:ascii="Times New Roman" w:hAnsi="Times New Roman" w:cs="Times New Roman"/>
          <w:sz w:val="18"/>
          <w:szCs w:val="18"/>
        </w:rPr>
        <w:t xml:space="preserve">(Sadece A31.0, A31.1, A31.8 ve A31.9 ICD kodlarında muafiyet kapsamındadır.) (Sağlık Bakanlığı </w:t>
      </w:r>
      <w:r w:rsidRPr="00386C08">
        <w:rPr>
          <w:rFonts w:ascii="Times New Roman" w:hAnsi="Times New Roman" w:cs="Times New Roman"/>
          <w:sz w:val="18"/>
          <w:szCs w:val="18"/>
        </w:rPr>
        <w:t>Endikasyon Dışı Genelge</w:t>
      </w:r>
      <w:r w:rsidRPr="00E30713">
        <w:rPr>
          <w:rFonts w:ascii="Times New Roman" w:hAnsi="Times New Roman" w:cs="Times New Roman"/>
          <w:sz w:val="18"/>
          <w:szCs w:val="18"/>
        </w:rPr>
        <w:t xml:space="preserve"> ve Kılavuzuna uyulacaktır.)</w:t>
      </w:r>
    </w:p>
    <w:p w14:paraId="4585D05E" w14:textId="77777777" w:rsidR="007D55B5" w:rsidRPr="00E30713" w:rsidRDefault="007D55B5" w:rsidP="00D2420E">
      <w:pPr>
        <w:tabs>
          <w:tab w:val="left" w:pos="741"/>
          <w:tab w:val="left" w:pos="1596"/>
          <w:tab w:val="left" w:pos="2622"/>
          <w:tab w:val="left" w:pos="3933"/>
        </w:tabs>
        <w:spacing w:after="0" w:line="240" w:lineRule="auto"/>
        <w:jc w:val="both"/>
        <w:rPr>
          <w:rFonts w:ascii="Times New Roman" w:eastAsia="Times New Roman" w:hAnsi="Times New Roman" w:cs="Times New Roman"/>
          <w:sz w:val="18"/>
          <w:szCs w:val="18"/>
        </w:rPr>
      </w:pPr>
      <w:r w:rsidRPr="00E30713">
        <w:rPr>
          <w:rFonts w:ascii="Times New Roman" w:eastAsia="Times New Roman" w:hAnsi="Times New Roman" w:cs="Times New Roman"/>
          <w:sz w:val="18"/>
          <w:szCs w:val="18"/>
        </w:rPr>
        <w:tab/>
        <w:t>1.2.13</w:t>
      </w:r>
      <w:r>
        <w:rPr>
          <w:rFonts w:ascii="Times New Roman" w:eastAsia="Times New Roman" w:hAnsi="Times New Roman" w:cs="Times New Roman"/>
          <w:sz w:val="18"/>
          <w:szCs w:val="18"/>
        </w:rPr>
        <w:t>.</w:t>
      </w:r>
      <w:r w:rsidRPr="00E30713">
        <w:rPr>
          <w:rFonts w:ascii="Times New Roman" w:eastAsia="Times New Roman" w:hAnsi="Times New Roman" w:cs="Times New Roman"/>
          <w:sz w:val="18"/>
          <w:szCs w:val="18"/>
        </w:rPr>
        <w:t xml:space="preserve"> </w:t>
      </w:r>
      <w:proofErr w:type="spellStart"/>
      <w:r w:rsidRPr="00E30713">
        <w:rPr>
          <w:rFonts w:ascii="Times New Roman" w:eastAsia="Times New Roman" w:hAnsi="Times New Roman" w:cs="Times New Roman"/>
          <w:sz w:val="18"/>
          <w:szCs w:val="18"/>
        </w:rPr>
        <w:t>Linezolid</w:t>
      </w:r>
      <w:proofErr w:type="spellEnd"/>
      <w:r w:rsidRPr="00E30713">
        <w:rPr>
          <w:rFonts w:ascii="Times New Roman" w:eastAsia="Times New Roman" w:hAnsi="Times New Roman" w:cs="Times New Roman"/>
          <w:sz w:val="18"/>
          <w:szCs w:val="18"/>
        </w:rPr>
        <w:t xml:space="preserve"> </w:t>
      </w:r>
      <w:r w:rsidRPr="00E30713">
        <w:rPr>
          <w:rFonts w:ascii="Times New Roman" w:hAnsi="Times New Roman" w:cs="Times New Roman"/>
          <w:sz w:val="18"/>
          <w:szCs w:val="18"/>
        </w:rPr>
        <w:t xml:space="preserve">(Sadece A31.0, A31.1, A31.8 ve A31.9 ICD kodlarında muafiyet kapsamındadır.) (Sağlık Bakanlığı Endikasyon </w:t>
      </w:r>
      <w:r>
        <w:rPr>
          <w:rFonts w:ascii="Times New Roman" w:hAnsi="Times New Roman" w:cs="Times New Roman"/>
          <w:sz w:val="18"/>
          <w:szCs w:val="18"/>
        </w:rPr>
        <w:t>D</w:t>
      </w:r>
      <w:r w:rsidRPr="00E30713">
        <w:rPr>
          <w:rFonts w:ascii="Times New Roman" w:hAnsi="Times New Roman" w:cs="Times New Roman"/>
          <w:sz w:val="18"/>
          <w:szCs w:val="18"/>
        </w:rPr>
        <w:t>ışı Genelge ve Kılavuzuna uyulacaktır.)”</w:t>
      </w:r>
    </w:p>
    <w:p w14:paraId="39978A41" w14:textId="77777777" w:rsidR="007D55B5" w:rsidRDefault="007D55B5" w:rsidP="00D2420E">
      <w:pPr>
        <w:spacing w:after="0" w:line="240" w:lineRule="auto"/>
        <w:ind w:left="710"/>
        <w:jc w:val="both"/>
        <w:rPr>
          <w:rFonts w:ascii="Times New Roman" w:hAnsi="Times New Roman" w:cs="Times New Roman"/>
          <w:sz w:val="18"/>
          <w:szCs w:val="18"/>
        </w:rPr>
      </w:pPr>
      <w:r>
        <w:rPr>
          <w:rFonts w:ascii="Times New Roman" w:hAnsi="Times New Roman" w:cs="Times New Roman"/>
          <w:sz w:val="18"/>
          <w:szCs w:val="18"/>
        </w:rPr>
        <w:t xml:space="preserve">c) </w:t>
      </w:r>
      <w:r w:rsidRPr="002104AE">
        <w:rPr>
          <w:rFonts w:ascii="Times New Roman" w:hAnsi="Times New Roman" w:cs="Times New Roman"/>
          <w:sz w:val="18"/>
          <w:szCs w:val="18"/>
        </w:rPr>
        <w:t xml:space="preserve">Listenin </w:t>
      </w:r>
      <w:r>
        <w:rPr>
          <w:rFonts w:ascii="Times New Roman" w:hAnsi="Times New Roman" w:cs="Times New Roman"/>
          <w:sz w:val="18"/>
          <w:szCs w:val="18"/>
        </w:rPr>
        <w:t>4.10</w:t>
      </w:r>
      <w:r w:rsidRPr="002104AE">
        <w:rPr>
          <w:rFonts w:ascii="Times New Roman" w:hAnsi="Times New Roman" w:cs="Times New Roman"/>
          <w:sz w:val="18"/>
          <w:szCs w:val="18"/>
        </w:rPr>
        <w:t xml:space="preserve"> </w:t>
      </w:r>
      <w:r>
        <w:rPr>
          <w:rFonts w:ascii="Times New Roman" w:hAnsi="Times New Roman" w:cs="Times New Roman"/>
          <w:sz w:val="18"/>
          <w:szCs w:val="18"/>
        </w:rPr>
        <w:t xml:space="preserve">numaralı </w:t>
      </w:r>
      <w:r w:rsidRPr="002104AE">
        <w:rPr>
          <w:rFonts w:ascii="Times New Roman" w:hAnsi="Times New Roman" w:cs="Times New Roman"/>
          <w:sz w:val="18"/>
          <w:szCs w:val="18"/>
        </w:rPr>
        <w:t>maddesine aşağıdaki alt madde eklenmiştir.</w:t>
      </w:r>
    </w:p>
    <w:p w14:paraId="059FACDE" w14:textId="77777777" w:rsidR="007D55B5" w:rsidRDefault="007D55B5" w:rsidP="00D2420E">
      <w:pPr>
        <w:spacing w:after="0" w:line="240" w:lineRule="auto"/>
        <w:ind w:left="710"/>
        <w:jc w:val="both"/>
        <w:rPr>
          <w:rFonts w:ascii="Times New Roman" w:hAnsi="Times New Roman" w:cs="Times New Roman"/>
          <w:sz w:val="18"/>
          <w:szCs w:val="18"/>
        </w:rPr>
      </w:pPr>
      <w:r>
        <w:rPr>
          <w:rFonts w:ascii="Times New Roman" w:hAnsi="Times New Roman" w:cs="Times New Roman"/>
          <w:sz w:val="18"/>
          <w:szCs w:val="18"/>
        </w:rPr>
        <w:t>“</w:t>
      </w:r>
      <w:r w:rsidRPr="003975DC">
        <w:rPr>
          <w:rFonts w:ascii="Times New Roman" w:hAnsi="Times New Roman" w:cs="Times New Roman"/>
          <w:sz w:val="18"/>
          <w:szCs w:val="18"/>
        </w:rPr>
        <w:t xml:space="preserve">4.10.15. </w:t>
      </w:r>
      <w:proofErr w:type="spellStart"/>
      <w:r w:rsidRPr="003975DC">
        <w:rPr>
          <w:rFonts w:ascii="Times New Roman" w:hAnsi="Times New Roman" w:cs="Times New Roman"/>
          <w:sz w:val="18"/>
          <w:szCs w:val="18"/>
        </w:rPr>
        <w:t>Masitentan</w:t>
      </w:r>
      <w:proofErr w:type="spellEnd"/>
      <w:r w:rsidRPr="003975DC">
        <w:rPr>
          <w:rFonts w:ascii="Times New Roman" w:hAnsi="Times New Roman" w:cs="Times New Roman"/>
          <w:sz w:val="18"/>
          <w:szCs w:val="18"/>
        </w:rPr>
        <w:t xml:space="preserve"> ve </w:t>
      </w:r>
      <w:proofErr w:type="spellStart"/>
      <w:r>
        <w:rPr>
          <w:rFonts w:ascii="Times New Roman" w:hAnsi="Times New Roman" w:cs="Times New Roman"/>
          <w:sz w:val="18"/>
          <w:szCs w:val="18"/>
        </w:rPr>
        <w:t>t</w:t>
      </w:r>
      <w:r w:rsidRPr="003975DC">
        <w:rPr>
          <w:rFonts w:ascii="Times New Roman" w:hAnsi="Times New Roman" w:cs="Times New Roman"/>
          <w:sz w:val="18"/>
          <w:szCs w:val="18"/>
        </w:rPr>
        <w:t>adalafil</w:t>
      </w:r>
      <w:proofErr w:type="spellEnd"/>
      <w:r w:rsidRPr="003975DC">
        <w:rPr>
          <w:rFonts w:ascii="Times New Roman" w:hAnsi="Times New Roman" w:cs="Times New Roman"/>
          <w:sz w:val="18"/>
          <w:szCs w:val="18"/>
        </w:rPr>
        <w:t xml:space="preserve"> kombinasyonu*</w:t>
      </w:r>
      <w:r>
        <w:rPr>
          <w:rFonts w:ascii="Times New Roman" w:hAnsi="Times New Roman" w:cs="Times New Roman"/>
          <w:sz w:val="18"/>
          <w:szCs w:val="18"/>
        </w:rPr>
        <w:t>”</w:t>
      </w:r>
    </w:p>
    <w:p w14:paraId="59B77E8A" w14:textId="77777777" w:rsidR="007D55B5" w:rsidRDefault="007D55B5" w:rsidP="007D55B5">
      <w:pPr>
        <w:spacing w:after="0"/>
        <w:ind w:firstLine="710"/>
        <w:jc w:val="both"/>
        <w:rPr>
          <w:rFonts w:ascii="Times New Roman" w:eastAsia="Times New Roman" w:hAnsi="Times New Roman" w:cs="Times New Roman"/>
          <w:bCs/>
          <w:sz w:val="18"/>
          <w:szCs w:val="18"/>
          <w:lang w:eastAsia="tr-TR"/>
        </w:rPr>
      </w:pPr>
      <w:r w:rsidRPr="00CB5D79">
        <w:rPr>
          <w:rFonts w:ascii="Times New Roman" w:hAnsi="Times New Roman" w:cs="Times New Roman"/>
          <w:b/>
          <w:sz w:val="18"/>
          <w:szCs w:val="18"/>
        </w:rPr>
        <w:t>M</w:t>
      </w:r>
      <w:r w:rsidRPr="002104AE">
        <w:rPr>
          <w:rFonts w:ascii="Times New Roman" w:eastAsia="Times New Roman" w:hAnsi="Times New Roman" w:cs="Times New Roman"/>
          <w:b/>
          <w:bCs/>
          <w:sz w:val="18"/>
          <w:szCs w:val="18"/>
          <w:lang w:eastAsia="tr-TR"/>
        </w:rPr>
        <w:t>ADDE 1</w:t>
      </w:r>
      <w:r>
        <w:rPr>
          <w:rFonts w:ascii="Times New Roman" w:eastAsia="Times New Roman" w:hAnsi="Times New Roman" w:cs="Times New Roman"/>
          <w:b/>
          <w:bCs/>
          <w:sz w:val="18"/>
          <w:szCs w:val="18"/>
          <w:lang w:eastAsia="tr-TR"/>
        </w:rPr>
        <w:t>1</w:t>
      </w:r>
      <w:r w:rsidRPr="002104AE">
        <w:rPr>
          <w:rFonts w:ascii="Times New Roman" w:eastAsia="Times New Roman" w:hAnsi="Times New Roman" w:cs="Times New Roman"/>
          <w:b/>
          <w:bCs/>
          <w:sz w:val="18"/>
          <w:szCs w:val="18"/>
          <w:lang w:eastAsia="tr-TR"/>
        </w:rPr>
        <w:t>-</w:t>
      </w:r>
      <w:r w:rsidRPr="002104AE">
        <w:rPr>
          <w:rFonts w:ascii="Times New Roman" w:eastAsia="Times New Roman" w:hAnsi="Times New Roman" w:cs="Times New Roman"/>
          <w:bCs/>
          <w:sz w:val="18"/>
          <w:szCs w:val="18"/>
          <w:lang w:eastAsia="tr-TR"/>
        </w:rPr>
        <w:t xml:space="preserve"> Aynı Tebliğ eki “Sistemik Antimikrobik ve Diğer İlaçların Reçeteleme Kuralları Listesi (EK-4/E)”</w:t>
      </w:r>
      <w:r>
        <w:rPr>
          <w:rFonts w:ascii="Times New Roman" w:eastAsia="Times New Roman" w:hAnsi="Times New Roman" w:cs="Times New Roman"/>
          <w:bCs/>
          <w:sz w:val="18"/>
          <w:szCs w:val="18"/>
          <w:lang w:eastAsia="tr-TR"/>
        </w:rPr>
        <w:t xml:space="preserve"> </w:t>
      </w:r>
      <w:proofErr w:type="spellStart"/>
      <w:r>
        <w:rPr>
          <w:rFonts w:ascii="Times New Roman" w:eastAsia="Times New Roman" w:hAnsi="Times New Roman" w:cs="Times New Roman"/>
          <w:bCs/>
          <w:sz w:val="18"/>
          <w:szCs w:val="18"/>
          <w:lang w:eastAsia="tr-TR"/>
        </w:rPr>
        <w:t>nin</w:t>
      </w:r>
      <w:proofErr w:type="spellEnd"/>
      <w:r>
        <w:rPr>
          <w:rFonts w:ascii="Times New Roman" w:eastAsia="Times New Roman" w:hAnsi="Times New Roman" w:cs="Times New Roman"/>
          <w:bCs/>
          <w:sz w:val="18"/>
          <w:szCs w:val="18"/>
          <w:lang w:eastAsia="tr-TR"/>
        </w:rPr>
        <w:t xml:space="preserve"> </w:t>
      </w:r>
      <w:r w:rsidRPr="00473ACC">
        <w:rPr>
          <w:rFonts w:ascii="Times New Roman" w:eastAsia="Times New Roman" w:hAnsi="Times New Roman" w:cs="Times New Roman"/>
          <w:bCs/>
          <w:sz w:val="18"/>
          <w:szCs w:val="18"/>
          <w:lang w:eastAsia="tr-TR"/>
        </w:rPr>
        <w:t>“</w:t>
      </w:r>
      <w:r w:rsidRPr="00A6229E">
        <w:rPr>
          <w:rFonts w:ascii="Times New Roman" w:hAnsi="Times New Roman" w:cs="Times New Roman"/>
          <w:sz w:val="18"/>
          <w:szCs w:val="18"/>
        </w:rPr>
        <w:t>13- DİĞERLERİ</w:t>
      </w:r>
      <w:r w:rsidRPr="00473ACC">
        <w:rPr>
          <w:rFonts w:ascii="Times New Roman" w:eastAsia="Times New Roman" w:hAnsi="Times New Roman" w:cs="Times New Roman"/>
          <w:bCs/>
          <w:sz w:val="18"/>
          <w:szCs w:val="18"/>
          <w:lang w:eastAsia="tr-TR"/>
        </w:rPr>
        <w:t>” başlı</w:t>
      </w:r>
      <w:r>
        <w:rPr>
          <w:rFonts w:ascii="Times New Roman" w:eastAsia="Times New Roman" w:hAnsi="Times New Roman" w:cs="Times New Roman"/>
          <w:bCs/>
          <w:sz w:val="18"/>
          <w:szCs w:val="18"/>
          <w:lang w:eastAsia="tr-TR"/>
        </w:rPr>
        <w:t xml:space="preserve">ğı altındaki </w:t>
      </w:r>
      <w:r w:rsidRPr="00473ACC">
        <w:rPr>
          <w:rFonts w:ascii="Times New Roman" w:eastAsia="Times New Roman" w:hAnsi="Times New Roman" w:cs="Times New Roman"/>
          <w:bCs/>
          <w:sz w:val="18"/>
          <w:szCs w:val="18"/>
          <w:lang w:eastAsia="tr-TR"/>
        </w:rPr>
        <w:t>2</w:t>
      </w:r>
      <w:r>
        <w:rPr>
          <w:rFonts w:ascii="Times New Roman" w:eastAsia="Times New Roman" w:hAnsi="Times New Roman" w:cs="Times New Roman"/>
          <w:bCs/>
          <w:sz w:val="18"/>
          <w:szCs w:val="18"/>
          <w:lang w:eastAsia="tr-TR"/>
        </w:rPr>
        <w:t>8.</w:t>
      </w:r>
      <w:r w:rsidRPr="00473ACC">
        <w:rPr>
          <w:rFonts w:ascii="Times New Roman" w:eastAsia="Times New Roman" w:hAnsi="Times New Roman" w:cs="Times New Roman"/>
          <w:bCs/>
          <w:sz w:val="18"/>
          <w:szCs w:val="18"/>
          <w:lang w:eastAsia="tr-TR"/>
        </w:rPr>
        <w:t xml:space="preserve">1 numaralı </w:t>
      </w:r>
      <w:r>
        <w:rPr>
          <w:rFonts w:ascii="Times New Roman" w:eastAsia="Times New Roman" w:hAnsi="Times New Roman" w:cs="Times New Roman"/>
          <w:bCs/>
          <w:sz w:val="18"/>
          <w:szCs w:val="18"/>
          <w:lang w:eastAsia="tr-TR"/>
        </w:rPr>
        <w:t>maddesi aşağıdaki şekilde değiştirilmiştir.</w:t>
      </w:r>
    </w:p>
    <w:p w14:paraId="6F7E4F51" w14:textId="77777777" w:rsidR="007D55B5" w:rsidRDefault="007D55B5" w:rsidP="007D55B5">
      <w:pPr>
        <w:spacing w:after="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4252"/>
      </w:tblGrid>
      <w:tr w:rsidR="007D55B5" w:rsidRPr="006F1186" w14:paraId="1DF6A974" w14:textId="77777777" w:rsidTr="00E04BCE">
        <w:trPr>
          <w:cantSplit/>
          <w:trHeight w:val="882"/>
        </w:trPr>
        <w:tc>
          <w:tcPr>
            <w:tcW w:w="851" w:type="dxa"/>
            <w:tcBorders>
              <w:top w:val="single" w:sz="4" w:space="0" w:color="auto"/>
              <w:left w:val="single" w:sz="4" w:space="0" w:color="auto"/>
              <w:bottom w:val="single" w:sz="4" w:space="0" w:color="auto"/>
              <w:right w:val="single" w:sz="4" w:space="0" w:color="auto"/>
            </w:tcBorders>
          </w:tcPr>
          <w:p w14:paraId="5BB5D8CD" w14:textId="77777777" w:rsidR="007D55B5" w:rsidRDefault="007D55B5" w:rsidP="00E04BCE">
            <w:pPr>
              <w:rPr>
                <w:rFonts w:ascii="Times New Roman" w:eastAsia="Times New Roman" w:hAnsi="Times New Roman" w:cs="Times New Roman"/>
                <w:bCs/>
                <w:sz w:val="18"/>
                <w:szCs w:val="18"/>
                <w:lang w:eastAsia="tr-TR"/>
              </w:rPr>
            </w:pPr>
          </w:p>
          <w:p w14:paraId="6A4B0C68" w14:textId="77777777" w:rsidR="007D55B5" w:rsidRPr="00F219AD" w:rsidRDefault="007D55B5" w:rsidP="00E04BCE">
            <w:pPr>
              <w:rPr>
                <w:rFonts w:ascii="Times New Roman" w:eastAsia="Times New Roman" w:hAnsi="Times New Roman" w:cs="Times New Roman"/>
                <w:b/>
                <w:bCs/>
                <w:sz w:val="18"/>
                <w:szCs w:val="18"/>
                <w:lang w:eastAsia="tr-TR"/>
              </w:rPr>
            </w:pPr>
            <w:r w:rsidRPr="00F219AD">
              <w:rPr>
                <w:rFonts w:ascii="Times New Roman" w:eastAsia="Times New Roman" w:hAnsi="Times New Roman" w:cs="Times New Roman"/>
                <w:b/>
                <w:bCs/>
                <w:sz w:val="18"/>
                <w:szCs w:val="18"/>
                <w:lang w:eastAsia="tr-TR"/>
              </w:rPr>
              <w:t xml:space="preserve">28.1       </w:t>
            </w:r>
          </w:p>
          <w:p w14:paraId="5C27ED1D" w14:textId="77777777" w:rsidR="007D55B5" w:rsidRPr="00F219AD" w:rsidRDefault="007D55B5" w:rsidP="00E04BCE">
            <w:pPr>
              <w:rPr>
                <w:rFonts w:ascii="Times New Roman" w:eastAsia="Times New Roman" w:hAnsi="Times New Roman" w:cs="Times New Roman"/>
                <w:bCs/>
                <w:sz w:val="18"/>
                <w:szCs w:val="18"/>
                <w:lang w:eastAsia="tr-TR"/>
              </w:rPr>
            </w:pPr>
          </w:p>
        </w:tc>
        <w:tc>
          <w:tcPr>
            <w:tcW w:w="3969" w:type="dxa"/>
            <w:tcBorders>
              <w:top w:val="single" w:sz="4" w:space="0" w:color="auto"/>
              <w:left w:val="single" w:sz="4" w:space="0" w:color="auto"/>
              <w:bottom w:val="single" w:sz="4" w:space="0" w:color="auto"/>
              <w:right w:val="single" w:sz="4" w:space="0" w:color="auto"/>
            </w:tcBorders>
          </w:tcPr>
          <w:p w14:paraId="02C04AA1" w14:textId="77777777" w:rsidR="007D55B5" w:rsidRPr="00F219AD" w:rsidRDefault="007D55B5" w:rsidP="00E04BCE">
            <w:pPr>
              <w:rPr>
                <w:rFonts w:ascii="Times New Roman" w:eastAsia="Times New Roman" w:hAnsi="Times New Roman" w:cs="Times New Roman"/>
                <w:bCs/>
                <w:sz w:val="18"/>
                <w:szCs w:val="18"/>
                <w:lang w:eastAsia="tr-TR"/>
              </w:rPr>
            </w:pPr>
          </w:p>
          <w:p w14:paraId="25FBB4D8" w14:textId="77777777" w:rsidR="007D55B5" w:rsidRPr="00F219AD" w:rsidRDefault="007D55B5" w:rsidP="00E04BCE">
            <w:pPr>
              <w:rPr>
                <w:rFonts w:ascii="Times New Roman" w:eastAsia="Times New Roman" w:hAnsi="Times New Roman" w:cs="Times New Roman"/>
                <w:bCs/>
                <w:sz w:val="18"/>
                <w:szCs w:val="18"/>
                <w:lang w:eastAsia="tr-TR"/>
              </w:rPr>
            </w:pPr>
            <w:proofErr w:type="spellStart"/>
            <w:r w:rsidRPr="00F219AD">
              <w:rPr>
                <w:rFonts w:ascii="Times New Roman" w:eastAsia="Times New Roman" w:hAnsi="Times New Roman" w:cs="Times New Roman"/>
                <w:bCs/>
                <w:sz w:val="18"/>
                <w:szCs w:val="18"/>
                <w:lang w:eastAsia="tr-TR"/>
              </w:rPr>
              <w:t>Fosfomisin</w:t>
            </w:r>
            <w:proofErr w:type="spellEnd"/>
            <w:r w:rsidRPr="00F219AD">
              <w:rPr>
                <w:rFonts w:ascii="Times New Roman" w:eastAsia="Times New Roman" w:hAnsi="Times New Roman" w:cs="Times New Roman"/>
                <w:bCs/>
                <w:sz w:val="18"/>
                <w:szCs w:val="18"/>
                <w:lang w:eastAsia="tr-TR"/>
              </w:rPr>
              <w:t xml:space="preserve"> (oral formları)</w:t>
            </w:r>
          </w:p>
        </w:tc>
        <w:tc>
          <w:tcPr>
            <w:tcW w:w="4252" w:type="dxa"/>
            <w:tcBorders>
              <w:top w:val="single" w:sz="4" w:space="0" w:color="auto"/>
              <w:left w:val="single" w:sz="4" w:space="0" w:color="auto"/>
              <w:bottom w:val="single" w:sz="4" w:space="0" w:color="auto"/>
              <w:right w:val="single" w:sz="4" w:space="0" w:color="auto"/>
            </w:tcBorders>
          </w:tcPr>
          <w:p w14:paraId="44557858" w14:textId="77777777" w:rsidR="007D55B5" w:rsidRPr="00F219AD" w:rsidRDefault="007D55B5" w:rsidP="00E04BCE">
            <w:pPr>
              <w:spacing w:after="0" w:line="240" w:lineRule="auto"/>
              <w:jc w:val="both"/>
              <w:rPr>
                <w:rFonts w:ascii="Times New Roman" w:eastAsia="Times New Roman" w:hAnsi="Times New Roman" w:cs="Times New Roman"/>
                <w:bCs/>
                <w:sz w:val="18"/>
                <w:szCs w:val="18"/>
                <w:lang w:eastAsia="tr-TR"/>
              </w:rPr>
            </w:pPr>
            <w:r w:rsidRPr="00A6229E">
              <w:rPr>
                <w:rFonts w:ascii="Times New Roman" w:eastAsia="Times New Roman" w:hAnsi="Times New Roman" w:cs="Times New Roman"/>
                <w:bCs/>
                <w:sz w:val="18"/>
                <w:szCs w:val="18"/>
                <w:lang w:eastAsia="tr-TR"/>
              </w:rPr>
              <w:t xml:space="preserve">Sadece yetişkin kadın ve </w:t>
            </w:r>
            <w:proofErr w:type="spellStart"/>
            <w:r w:rsidRPr="00A6229E">
              <w:rPr>
                <w:rFonts w:ascii="Times New Roman" w:eastAsia="Times New Roman" w:hAnsi="Times New Roman" w:cs="Times New Roman"/>
                <w:bCs/>
                <w:sz w:val="18"/>
                <w:szCs w:val="18"/>
                <w:lang w:eastAsia="tr-TR"/>
              </w:rPr>
              <w:t>adölesan</w:t>
            </w:r>
            <w:proofErr w:type="spellEnd"/>
            <w:r w:rsidRPr="00A6229E">
              <w:rPr>
                <w:rFonts w:ascii="Times New Roman" w:eastAsia="Times New Roman" w:hAnsi="Times New Roman" w:cs="Times New Roman"/>
                <w:bCs/>
                <w:sz w:val="18"/>
                <w:szCs w:val="18"/>
                <w:lang w:eastAsia="tr-TR"/>
              </w:rPr>
              <w:t xml:space="preserve"> kızlardaki akut, komplike olmamış sistit tedavisi ve yetişkin erkeklerde </w:t>
            </w:r>
            <w:proofErr w:type="spellStart"/>
            <w:r w:rsidRPr="00A6229E">
              <w:rPr>
                <w:rFonts w:ascii="Times New Roman" w:eastAsia="Times New Roman" w:hAnsi="Times New Roman" w:cs="Times New Roman"/>
                <w:bCs/>
                <w:sz w:val="18"/>
                <w:szCs w:val="18"/>
                <w:lang w:eastAsia="tr-TR"/>
              </w:rPr>
              <w:t>transrektal</w:t>
            </w:r>
            <w:proofErr w:type="spellEnd"/>
            <w:r w:rsidRPr="00A6229E">
              <w:rPr>
                <w:rFonts w:ascii="Times New Roman" w:eastAsia="Times New Roman" w:hAnsi="Times New Roman" w:cs="Times New Roman"/>
                <w:bCs/>
                <w:sz w:val="18"/>
                <w:szCs w:val="18"/>
                <w:lang w:eastAsia="tr-TR"/>
              </w:rPr>
              <w:t xml:space="preserve"> prostat biyopsisi sırasında perioperatif </w:t>
            </w:r>
            <w:r>
              <w:rPr>
                <w:rFonts w:ascii="Times New Roman" w:eastAsia="Times New Roman" w:hAnsi="Times New Roman" w:cs="Times New Roman"/>
                <w:bCs/>
                <w:sz w:val="18"/>
                <w:szCs w:val="18"/>
                <w:lang w:eastAsia="tr-TR"/>
              </w:rPr>
              <w:t>a</w:t>
            </w:r>
            <w:r w:rsidRPr="00A6229E">
              <w:rPr>
                <w:rFonts w:ascii="Times New Roman" w:eastAsia="Times New Roman" w:hAnsi="Times New Roman" w:cs="Times New Roman"/>
                <w:bCs/>
                <w:sz w:val="18"/>
                <w:szCs w:val="18"/>
                <w:lang w:eastAsia="tr-TR"/>
              </w:rPr>
              <w:t>ntibiyotik profilaksisin</w:t>
            </w:r>
            <w:r>
              <w:rPr>
                <w:rFonts w:ascii="Times New Roman" w:eastAsia="Times New Roman" w:hAnsi="Times New Roman" w:cs="Times New Roman"/>
                <w:bCs/>
                <w:sz w:val="18"/>
                <w:szCs w:val="18"/>
                <w:lang w:eastAsia="tr-TR"/>
              </w:rPr>
              <w:t>in</w:t>
            </w:r>
            <w:r w:rsidRPr="00A6229E">
              <w:rPr>
                <w:rFonts w:ascii="Times New Roman" w:eastAsia="Times New Roman" w:hAnsi="Times New Roman" w:cs="Times New Roman"/>
                <w:bCs/>
                <w:sz w:val="18"/>
                <w:szCs w:val="18"/>
                <w:lang w:eastAsia="tr-TR"/>
              </w:rPr>
              <w:t xml:space="preserve"> tedavisinde haftada en fazla bir </w:t>
            </w:r>
            <w:proofErr w:type="spellStart"/>
            <w:r>
              <w:rPr>
                <w:rFonts w:ascii="Times New Roman" w:eastAsia="Times New Roman" w:hAnsi="Times New Roman" w:cs="Times New Roman"/>
                <w:bCs/>
                <w:sz w:val="18"/>
                <w:szCs w:val="18"/>
                <w:lang w:eastAsia="tr-TR"/>
              </w:rPr>
              <w:t>saşe</w:t>
            </w:r>
            <w:proofErr w:type="spellEnd"/>
            <w:r w:rsidRPr="00A6229E">
              <w:rPr>
                <w:rFonts w:ascii="Times New Roman" w:eastAsia="Times New Roman" w:hAnsi="Times New Roman" w:cs="Times New Roman"/>
                <w:bCs/>
                <w:sz w:val="18"/>
                <w:szCs w:val="18"/>
                <w:lang w:eastAsia="tr-TR"/>
              </w:rPr>
              <w:t xml:space="preserve"> </w:t>
            </w:r>
            <w:r w:rsidRPr="006834DB">
              <w:rPr>
                <w:rFonts w:ascii="Times New Roman" w:eastAsia="Times New Roman" w:hAnsi="Times New Roman" w:cs="Times New Roman"/>
                <w:bCs/>
                <w:sz w:val="18"/>
                <w:szCs w:val="18"/>
                <w:lang w:eastAsia="tr-TR"/>
              </w:rPr>
              <w:t xml:space="preserve">kullanılması </w:t>
            </w:r>
            <w:r w:rsidRPr="006834DB">
              <w:rPr>
                <w:rFonts w:ascii="Times New Roman" w:eastAsia="Times New Roman" w:hAnsi="Times New Roman" w:cs="Times New Roman"/>
                <w:sz w:val="18"/>
                <w:szCs w:val="18"/>
              </w:rPr>
              <w:t>halinde</w:t>
            </w:r>
            <w:r w:rsidRPr="00A6229E">
              <w:rPr>
                <w:rFonts w:ascii="Times New Roman" w:eastAsia="Times New Roman" w:hAnsi="Times New Roman" w:cs="Times New Roman"/>
                <w:bCs/>
                <w:sz w:val="18"/>
                <w:szCs w:val="18"/>
                <w:lang w:eastAsia="tr-TR"/>
              </w:rPr>
              <w:t xml:space="preserve"> bedelleri Kurumca karşılanır.</w:t>
            </w:r>
          </w:p>
        </w:tc>
      </w:tr>
    </w:tbl>
    <w:p w14:paraId="1ACF86AF" w14:textId="77777777" w:rsidR="007D55B5" w:rsidRDefault="007D55B5" w:rsidP="007D55B5">
      <w:pPr>
        <w:spacing w:after="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14:paraId="266E9C40" w14:textId="77777777" w:rsidR="007D55B5" w:rsidRDefault="007D55B5" w:rsidP="00D2420E">
      <w:pPr>
        <w:tabs>
          <w:tab w:val="left" w:pos="1418"/>
        </w:tabs>
        <w:spacing w:after="0" w:line="240" w:lineRule="auto"/>
        <w:ind w:left="34" w:hanging="34"/>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lastRenderedPageBreak/>
        <w:tab/>
        <w:t xml:space="preserve">               </w:t>
      </w:r>
      <w:r w:rsidRPr="00310FD6">
        <w:rPr>
          <w:rFonts w:ascii="Times New Roman" w:eastAsia="Times New Roman" w:hAnsi="Times New Roman" w:cs="Times New Roman"/>
          <w:b/>
          <w:bCs/>
          <w:sz w:val="18"/>
          <w:szCs w:val="18"/>
          <w:lang w:eastAsia="tr-TR"/>
        </w:rPr>
        <w:t>MADDE 12-</w:t>
      </w:r>
      <w:r w:rsidRPr="00473ACC">
        <w:rPr>
          <w:rFonts w:ascii="Times New Roman" w:eastAsia="Times New Roman" w:hAnsi="Times New Roman" w:cs="Times New Roman"/>
          <w:bCs/>
          <w:sz w:val="18"/>
          <w:szCs w:val="18"/>
          <w:lang w:eastAsia="tr-TR"/>
        </w:rPr>
        <w:t xml:space="preserve"> Aynı Tebliğ eki “Ayakta Tedavide Sağlık Raporu (Uzman Hekim Raporu/Sağlık Kurulu Raporu) </w:t>
      </w:r>
      <w:r>
        <w:rPr>
          <w:rFonts w:ascii="Times New Roman" w:eastAsia="Times New Roman" w:hAnsi="Times New Roman" w:cs="Times New Roman"/>
          <w:bCs/>
          <w:sz w:val="18"/>
          <w:szCs w:val="18"/>
          <w:lang w:eastAsia="tr-TR"/>
        </w:rPr>
        <w:t>i</w:t>
      </w:r>
      <w:r w:rsidRPr="00473ACC">
        <w:rPr>
          <w:rFonts w:ascii="Times New Roman" w:eastAsia="Times New Roman" w:hAnsi="Times New Roman" w:cs="Times New Roman"/>
          <w:bCs/>
          <w:sz w:val="18"/>
          <w:szCs w:val="18"/>
          <w:lang w:eastAsia="tr-TR"/>
        </w:rPr>
        <w:t>le Verilebilecek İlaçlar Listesi (EK-4/F)”</w:t>
      </w:r>
      <w:r>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n</w:t>
      </w:r>
      <w:r>
        <w:rPr>
          <w:rFonts w:ascii="Times New Roman" w:eastAsia="Times New Roman" w:hAnsi="Times New Roman" w:cs="Times New Roman"/>
          <w:bCs/>
          <w:sz w:val="18"/>
          <w:szCs w:val="18"/>
          <w:lang w:eastAsia="tr-TR"/>
        </w:rPr>
        <w:t>in</w:t>
      </w:r>
      <w:proofErr w:type="spellEnd"/>
      <w:r>
        <w:rPr>
          <w:rFonts w:ascii="Times New Roman" w:eastAsia="Times New Roman" w:hAnsi="Times New Roman" w:cs="Times New Roman"/>
          <w:bCs/>
          <w:sz w:val="18"/>
          <w:szCs w:val="18"/>
          <w:lang w:eastAsia="tr-TR"/>
        </w:rPr>
        <w:t xml:space="preserve"> 67 </w:t>
      </w:r>
      <w:r w:rsidRPr="00473ACC">
        <w:rPr>
          <w:rFonts w:ascii="Times New Roman" w:eastAsia="Times New Roman" w:hAnsi="Times New Roman" w:cs="Times New Roman"/>
          <w:bCs/>
          <w:sz w:val="18"/>
          <w:szCs w:val="18"/>
          <w:lang w:eastAsia="tr-TR"/>
        </w:rPr>
        <w:t xml:space="preserve">numaralı </w:t>
      </w:r>
      <w:r>
        <w:rPr>
          <w:rFonts w:ascii="Times New Roman" w:eastAsia="Times New Roman" w:hAnsi="Times New Roman" w:cs="Times New Roman"/>
          <w:bCs/>
          <w:sz w:val="18"/>
          <w:szCs w:val="18"/>
          <w:lang w:eastAsia="tr-TR"/>
        </w:rPr>
        <w:t>maddesine aşağıdaki cümle eklenmiştir.</w:t>
      </w:r>
    </w:p>
    <w:p w14:paraId="7C6D1152" w14:textId="77777777" w:rsidR="007D55B5" w:rsidRPr="003C0CFD" w:rsidRDefault="007D55B5" w:rsidP="00D2420E">
      <w:pPr>
        <w:tabs>
          <w:tab w:val="left" w:pos="1418"/>
        </w:tabs>
        <w:spacing w:after="0" w:line="240" w:lineRule="auto"/>
        <w:ind w:left="34" w:hanging="34"/>
        <w:jc w:val="both"/>
        <w:rPr>
          <w:rFonts w:ascii="Times New Roman" w:eastAsia="Times New Roman" w:hAnsi="Times New Roman" w:cs="Times New Roman"/>
          <w:sz w:val="18"/>
          <w:szCs w:val="18"/>
          <w:lang w:eastAsia="tr-TR"/>
        </w:rPr>
      </w:pPr>
      <w:r w:rsidRPr="00CB5D79">
        <w:rPr>
          <w:rFonts w:ascii="Times New Roman" w:eastAsia="Times New Roman" w:hAnsi="Times New Roman" w:cs="Times New Roman"/>
          <w:bCs/>
          <w:sz w:val="18"/>
          <w:szCs w:val="18"/>
          <w:lang w:eastAsia="tr-TR"/>
        </w:rPr>
        <w:t>“</w:t>
      </w:r>
      <w:r w:rsidRPr="00CB5D79">
        <w:rPr>
          <w:rFonts w:ascii="Times New Roman" w:eastAsia="Times New Roman" w:hAnsi="Times New Roman" w:cs="Times New Roman"/>
          <w:sz w:val="18"/>
          <w:szCs w:val="18"/>
          <w:lang w:eastAsia="tr-TR"/>
        </w:rPr>
        <w:t xml:space="preserve">Acil servise başvuran anafilaksi tanılı hastalarda acil tıp uzman hekimleri tarafından 1 yıl içinde yalnızca </w:t>
      </w:r>
      <w:r w:rsidRPr="00A51F89">
        <w:rPr>
          <w:rFonts w:ascii="Times New Roman" w:eastAsia="Times New Roman" w:hAnsi="Times New Roman" w:cs="Times New Roman"/>
          <w:sz w:val="18"/>
          <w:szCs w:val="18"/>
          <w:lang w:eastAsia="tr-TR"/>
        </w:rPr>
        <w:t>bir defaya</w:t>
      </w:r>
      <w:r w:rsidRPr="00CB5D79">
        <w:rPr>
          <w:rFonts w:ascii="Times New Roman" w:eastAsia="Times New Roman" w:hAnsi="Times New Roman" w:cs="Times New Roman"/>
          <w:sz w:val="18"/>
          <w:szCs w:val="18"/>
          <w:lang w:eastAsia="tr-TR"/>
        </w:rPr>
        <w:t xml:space="preserve"> mahsus reçete edilebilir.”</w:t>
      </w:r>
    </w:p>
    <w:bookmarkEnd w:id="0"/>
    <w:p w14:paraId="7F3E8154" w14:textId="77777777" w:rsidR="007D55B5" w:rsidRDefault="007D55B5" w:rsidP="007D55B5">
      <w:pPr>
        <w:tabs>
          <w:tab w:val="left" w:pos="709"/>
        </w:tabs>
        <w:spacing w:after="0" w:line="240" w:lineRule="auto"/>
        <w:jc w:val="both"/>
        <w:rPr>
          <w:rFonts w:ascii="Times New Roman" w:eastAsia="Times New Roman" w:hAnsi="Times New Roman" w:cs="Arial"/>
          <w:bCs/>
          <w:sz w:val="18"/>
          <w:szCs w:val="18"/>
          <w:lang w:eastAsia="tr-TR"/>
        </w:rPr>
      </w:pPr>
      <w:r w:rsidRPr="00A25CE7">
        <w:rPr>
          <w:rFonts w:ascii="Times New Roman" w:eastAsia="Times New Roman" w:hAnsi="Times New Roman" w:cs="Times New Roman"/>
          <w:b/>
          <w:bCs/>
          <w:sz w:val="18"/>
          <w:szCs w:val="18"/>
          <w:lang w:eastAsia="tr-TR"/>
        </w:rPr>
        <w:t xml:space="preserve">               </w:t>
      </w:r>
      <w:r w:rsidRPr="002A4101">
        <w:rPr>
          <w:rFonts w:ascii="Times New Roman" w:eastAsia="Times New Roman" w:hAnsi="Times New Roman" w:cs="Times New Roman"/>
          <w:b/>
          <w:bCs/>
          <w:sz w:val="18"/>
          <w:szCs w:val="18"/>
          <w:lang w:eastAsia="tr-TR"/>
        </w:rPr>
        <w:t xml:space="preserve">MADDE 13- </w:t>
      </w:r>
      <w:r w:rsidRPr="002A4101">
        <w:rPr>
          <w:rFonts w:ascii="Times New Roman" w:eastAsia="Times New Roman" w:hAnsi="Times New Roman" w:cs="Arial"/>
          <w:bCs/>
          <w:sz w:val="18"/>
          <w:szCs w:val="18"/>
          <w:lang w:eastAsia="tr-TR"/>
        </w:rPr>
        <w:t>Bu</w:t>
      </w:r>
      <w:r w:rsidRPr="00BF041E">
        <w:rPr>
          <w:rFonts w:ascii="Times New Roman" w:eastAsia="Times New Roman" w:hAnsi="Times New Roman" w:cs="Arial"/>
          <w:bCs/>
          <w:sz w:val="18"/>
          <w:szCs w:val="18"/>
          <w:lang w:eastAsia="tr-TR"/>
        </w:rPr>
        <w:t xml:space="preserve"> Tebliğin;</w:t>
      </w:r>
    </w:p>
    <w:p w14:paraId="1BF46E2D" w14:textId="77777777" w:rsidR="007D55B5" w:rsidRPr="00B51556" w:rsidRDefault="007D55B5" w:rsidP="007D55B5">
      <w:pPr>
        <w:tabs>
          <w:tab w:val="left" w:pos="709"/>
        </w:tabs>
        <w:spacing w:after="0" w:line="240" w:lineRule="auto"/>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Pr="00B51556">
        <w:rPr>
          <w:rFonts w:ascii="Times New Roman" w:eastAsia="Times New Roman" w:hAnsi="Times New Roman" w:cs="Arial"/>
          <w:bCs/>
          <w:sz w:val="18"/>
          <w:szCs w:val="18"/>
          <w:lang w:eastAsia="tr-TR"/>
        </w:rPr>
        <w:t xml:space="preserve">a) 1 </w:t>
      </w:r>
      <w:r w:rsidRPr="00B51556">
        <w:rPr>
          <w:rFonts w:ascii="Times New Roman" w:eastAsia="Times New Roman" w:hAnsi="Times New Roman" w:cs="Times New Roman"/>
          <w:bCs/>
          <w:sz w:val="18"/>
          <w:szCs w:val="18"/>
          <w:lang w:eastAsia="tr-TR"/>
        </w:rPr>
        <w:t>ilâ</w:t>
      </w:r>
      <w:r w:rsidRPr="00B51556">
        <w:rPr>
          <w:rFonts w:ascii="Times New Roman" w:eastAsia="Times New Roman" w:hAnsi="Times New Roman" w:cs="Arial"/>
          <w:bCs/>
          <w:sz w:val="18"/>
          <w:szCs w:val="18"/>
          <w:lang w:eastAsia="tr-TR"/>
        </w:rPr>
        <w:t xml:space="preserve"> 8 inci maddeleri</w:t>
      </w:r>
      <w:r>
        <w:rPr>
          <w:rFonts w:ascii="Times New Roman" w:eastAsia="Times New Roman" w:hAnsi="Times New Roman" w:cs="Arial"/>
          <w:bCs/>
          <w:sz w:val="18"/>
          <w:szCs w:val="18"/>
          <w:lang w:eastAsia="tr-TR"/>
        </w:rPr>
        <w:t xml:space="preserve"> ile</w:t>
      </w:r>
      <w:r w:rsidRPr="00B51556">
        <w:rPr>
          <w:rFonts w:ascii="Times New Roman" w:eastAsia="Times New Roman" w:hAnsi="Times New Roman" w:cs="Arial"/>
          <w:bCs/>
          <w:sz w:val="18"/>
          <w:szCs w:val="18"/>
          <w:lang w:eastAsia="tr-TR"/>
        </w:rPr>
        <w:t xml:space="preserve"> 10 </w:t>
      </w:r>
      <w:r w:rsidRPr="00B51556">
        <w:rPr>
          <w:rFonts w:ascii="Times New Roman" w:eastAsia="Times New Roman" w:hAnsi="Times New Roman" w:cs="Times New Roman"/>
          <w:bCs/>
          <w:sz w:val="18"/>
          <w:szCs w:val="18"/>
          <w:lang w:eastAsia="tr-TR"/>
        </w:rPr>
        <w:t xml:space="preserve">ilâ </w:t>
      </w:r>
      <w:proofErr w:type="gramStart"/>
      <w:r w:rsidRPr="00B51556">
        <w:rPr>
          <w:rFonts w:ascii="Times New Roman" w:eastAsia="Times New Roman" w:hAnsi="Times New Roman" w:cs="Times New Roman"/>
          <w:bCs/>
          <w:sz w:val="18"/>
          <w:szCs w:val="18"/>
          <w:lang w:eastAsia="tr-TR"/>
        </w:rPr>
        <w:t xml:space="preserve">12 </w:t>
      </w:r>
      <w:proofErr w:type="spellStart"/>
      <w:r w:rsidRPr="00B51556">
        <w:rPr>
          <w:rFonts w:ascii="Times New Roman" w:eastAsia="Times New Roman" w:hAnsi="Times New Roman" w:cs="Times New Roman"/>
          <w:bCs/>
          <w:sz w:val="18"/>
          <w:szCs w:val="18"/>
          <w:lang w:eastAsia="tr-TR"/>
        </w:rPr>
        <w:t>nci</w:t>
      </w:r>
      <w:proofErr w:type="spellEnd"/>
      <w:proofErr w:type="gramEnd"/>
      <w:r w:rsidRPr="00B51556">
        <w:rPr>
          <w:rFonts w:ascii="Times New Roman" w:eastAsia="Times New Roman" w:hAnsi="Times New Roman" w:cs="Times New Roman"/>
          <w:bCs/>
          <w:sz w:val="18"/>
          <w:szCs w:val="18"/>
          <w:lang w:eastAsia="tr-TR"/>
        </w:rPr>
        <w:t xml:space="preserve"> maddeleri </w:t>
      </w:r>
      <w:r w:rsidRPr="00B51556">
        <w:rPr>
          <w:rFonts w:ascii="Times New Roman" w:eastAsia="Times New Roman" w:hAnsi="Times New Roman" w:cs="Arial"/>
          <w:bCs/>
          <w:sz w:val="18"/>
          <w:szCs w:val="18"/>
          <w:lang w:eastAsia="tr-TR"/>
        </w:rPr>
        <w:t>yayımı tarihinden 5 iş günü sonra,</w:t>
      </w:r>
    </w:p>
    <w:p w14:paraId="0B33752A" w14:textId="77777777" w:rsidR="007D55B5" w:rsidRDefault="007D55B5" w:rsidP="007D55B5">
      <w:pPr>
        <w:spacing w:after="0" w:line="240" w:lineRule="auto"/>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t xml:space="preserve">               </w:t>
      </w:r>
      <w:r w:rsidRPr="00B51556">
        <w:rPr>
          <w:rFonts w:ascii="Times New Roman" w:eastAsia="Times New Roman" w:hAnsi="Times New Roman" w:cs="Times New Roman"/>
          <w:bCs/>
          <w:sz w:val="18"/>
          <w:szCs w:val="18"/>
          <w:lang w:eastAsia="tr-TR"/>
        </w:rPr>
        <w:t xml:space="preserve">b) 9 uncu </w:t>
      </w:r>
      <w:r w:rsidRPr="00FF5BA6">
        <w:rPr>
          <w:rFonts w:ascii="Times New Roman" w:hAnsi="Times New Roman" w:cs="Times New Roman"/>
          <w:sz w:val="18"/>
          <w:szCs w:val="18"/>
        </w:rPr>
        <w:t>maddesinde düzenlenen ekli listede</w:t>
      </w:r>
      <w:r w:rsidRPr="00B51556">
        <w:rPr>
          <w:rFonts w:ascii="Times New Roman" w:hAnsi="Times New Roman" w:cs="Times New Roman"/>
          <w:sz w:val="18"/>
          <w:szCs w:val="18"/>
          <w:lang w:eastAsia="tr-TR"/>
        </w:rPr>
        <w:t xml:space="preserve">; </w:t>
      </w:r>
      <w:r w:rsidRPr="00B51556">
        <w:rPr>
          <w:rFonts w:ascii="Times New Roman" w:hAnsi="Times New Roman" w:cs="Times New Roman"/>
          <w:sz w:val="18"/>
          <w:szCs w:val="18"/>
        </w:rPr>
        <w:t xml:space="preserve">listeye giriş tarihi, </w:t>
      </w:r>
      <w:proofErr w:type="spellStart"/>
      <w:r w:rsidRPr="00B51556">
        <w:rPr>
          <w:rFonts w:ascii="Times New Roman" w:hAnsi="Times New Roman" w:cs="Times New Roman"/>
          <w:sz w:val="18"/>
          <w:szCs w:val="18"/>
        </w:rPr>
        <w:t>aktiflenme</w:t>
      </w:r>
      <w:proofErr w:type="spellEnd"/>
      <w:r w:rsidRPr="00B51556">
        <w:rPr>
          <w:rFonts w:ascii="Times New Roman" w:hAnsi="Times New Roman" w:cs="Times New Roman"/>
          <w:sz w:val="18"/>
          <w:szCs w:val="18"/>
        </w:rPr>
        <w:t xml:space="preserve"> tarihi veya </w:t>
      </w:r>
      <w:proofErr w:type="spellStart"/>
      <w:r w:rsidRPr="00B51556">
        <w:rPr>
          <w:rFonts w:ascii="Times New Roman" w:hAnsi="Times New Roman" w:cs="Times New Roman"/>
          <w:sz w:val="18"/>
          <w:szCs w:val="18"/>
        </w:rPr>
        <w:t>pasiflenme</w:t>
      </w:r>
      <w:proofErr w:type="spellEnd"/>
      <w:r w:rsidRPr="00B51556">
        <w:rPr>
          <w:rFonts w:ascii="Times New Roman" w:hAnsi="Times New Roman" w:cs="Times New Roman"/>
          <w:sz w:val="18"/>
          <w:szCs w:val="18"/>
        </w:rPr>
        <w:t xml:space="preserve"> tarihi bulunan ilaçlar belirtilen tarihlerde, listeye giriş tarihi, </w:t>
      </w:r>
      <w:proofErr w:type="spellStart"/>
      <w:r w:rsidRPr="00B51556">
        <w:rPr>
          <w:rFonts w:ascii="Times New Roman" w:hAnsi="Times New Roman" w:cs="Times New Roman"/>
          <w:sz w:val="18"/>
          <w:szCs w:val="18"/>
        </w:rPr>
        <w:t>aktiflenme</w:t>
      </w:r>
      <w:proofErr w:type="spellEnd"/>
      <w:r w:rsidRPr="00B51556">
        <w:rPr>
          <w:rFonts w:ascii="Times New Roman" w:hAnsi="Times New Roman" w:cs="Times New Roman"/>
          <w:sz w:val="18"/>
          <w:szCs w:val="18"/>
        </w:rPr>
        <w:t xml:space="preserve"> tarihi veya </w:t>
      </w:r>
      <w:proofErr w:type="spellStart"/>
      <w:r w:rsidRPr="00B51556">
        <w:rPr>
          <w:rFonts w:ascii="Times New Roman" w:hAnsi="Times New Roman" w:cs="Times New Roman"/>
          <w:sz w:val="18"/>
          <w:szCs w:val="18"/>
        </w:rPr>
        <w:t>pasiflenme</w:t>
      </w:r>
      <w:proofErr w:type="spellEnd"/>
      <w:r w:rsidRPr="00B51556">
        <w:rPr>
          <w:rFonts w:ascii="Times New Roman" w:hAnsi="Times New Roman" w:cs="Times New Roman"/>
          <w:sz w:val="18"/>
          <w:szCs w:val="18"/>
        </w:rPr>
        <w:t xml:space="preserve"> tarihi bulunmayan ilaçlar yayımları tarihlerinde, listeye giriş tarihinde (*) işareti bulunan ilaçlar ile </w:t>
      </w:r>
      <w:r w:rsidRPr="00B51556">
        <w:rPr>
          <w:rFonts w:ascii="Times New Roman" w:hAnsi="Times New Roman" w:cs="Times New Roman"/>
          <w:sz w:val="18"/>
          <w:szCs w:val="18"/>
          <w:lang w:eastAsia="tr-TR"/>
        </w:rPr>
        <w:t xml:space="preserve">ilaç adında (**) işareti bulunan ilaçlar </w:t>
      </w:r>
      <w:r w:rsidRPr="00B51556">
        <w:rPr>
          <w:rFonts w:ascii="Times New Roman" w:hAnsi="Times New Roman" w:cs="Times New Roman"/>
          <w:sz w:val="18"/>
          <w:szCs w:val="18"/>
        </w:rPr>
        <w:t>yayımı tarihinden 5 iş günü sonra,</w:t>
      </w:r>
    </w:p>
    <w:p w14:paraId="32888713" w14:textId="4F8C8317" w:rsidR="00403356" w:rsidRPr="00B51556" w:rsidRDefault="00403356" w:rsidP="004033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c)Diğer hükümleri yayımı tarihinde,</w:t>
      </w:r>
    </w:p>
    <w:p w14:paraId="5022844E" w14:textId="77777777" w:rsidR="007D55B5" w:rsidRPr="00B61CD7" w:rsidRDefault="007D55B5" w:rsidP="007D55B5">
      <w:pPr>
        <w:spacing w:after="0" w:line="240" w:lineRule="auto"/>
        <w:jc w:val="both"/>
        <w:rPr>
          <w:rFonts w:ascii="Times New Roman" w:eastAsia="Times New Roman" w:hAnsi="Times New Roman" w:cs="Times New Roman"/>
          <w:bCs/>
          <w:sz w:val="18"/>
          <w:szCs w:val="18"/>
          <w:lang w:eastAsia="tr-TR"/>
        </w:rPr>
      </w:pPr>
      <w:r w:rsidRPr="00B61CD7">
        <w:rPr>
          <w:rFonts w:ascii="Times New Roman" w:hAnsi="Times New Roman" w:cs="Times New Roman"/>
          <w:sz w:val="18"/>
          <w:szCs w:val="18"/>
          <w:lang w:eastAsia="tr-TR"/>
        </w:rPr>
        <w:t xml:space="preserve">               </w:t>
      </w:r>
      <w:r w:rsidRPr="00B61CD7">
        <w:rPr>
          <w:rFonts w:ascii="Times New Roman" w:eastAsia="Times New Roman" w:hAnsi="Times New Roman" w:cs="Arial"/>
          <w:bCs/>
          <w:sz w:val="18"/>
          <w:szCs w:val="18"/>
          <w:lang w:eastAsia="tr-TR"/>
        </w:rPr>
        <w:t xml:space="preserve"> </w:t>
      </w:r>
      <w:proofErr w:type="gramStart"/>
      <w:r w:rsidRPr="00B61CD7">
        <w:rPr>
          <w:rFonts w:ascii="Times New Roman" w:eastAsia="Times New Roman" w:hAnsi="Times New Roman" w:cs="Arial"/>
          <w:bCs/>
          <w:sz w:val="18"/>
          <w:szCs w:val="18"/>
          <w:lang w:eastAsia="tr-TR"/>
        </w:rPr>
        <w:t>yürürlüğe</w:t>
      </w:r>
      <w:proofErr w:type="gramEnd"/>
      <w:r w:rsidRPr="00B61CD7">
        <w:rPr>
          <w:rFonts w:ascii="Times New Roman" w:eastAsia="Times New Roman" w:hAnsi="Times New Roman" w:cs="Arial"/>
          <w:bCs/>
          <w:sz w:val="18"/>
          <w:szCs w:val="18"/>
          <w:lang w:eastAsia="tr-TR"/>
        </w:rPr>
        <w:t xml:space="preserve"> girer.</w:t>
      </w:r>
    </w:p>
    <w:p w14:paraId="573A7914" w14:textId="77777777" w:rsidR="007D55B5" w:rsidRPr="00BF041E" w:rsidRDefault="007D55B5" w:rsidP="007D55B5">
      <w:pPr>
        <w:spacing w:after="0" w:line="240" w:lineRule="auto"/>
        <w:ind w:firstLine="708"/>
        <w:jc w:val="both"/>
        <w:rPr>
          <w:rFonts w:ascii="Times New Roman" w:eastAsia="Times New Roman" w:hAnsi="Times New Roman" w:cs="Times New Roman"/>
          <w:bCs/>
          <w:sz w:val="18"/>
          <w:szCs w:val="18"/>
          <w:lang w:eastAsia="tr-TR"/>
        </w:rPr>
      </w:pPr>
      <w:r w:rsidRPr="00BF041E">
        <w:rPr>
          <w:rFonts w:ascii="Times New Roman" w:eastAsia="Times New Roman" w:hAnsi="Times New Roman" w:cs="Times New Roman"/>
          <w:b/>
          <w:bCs/>
          <w:sz w:val="18"/>
          <w:szCs w:val="18"/>
          <w:lang w:eastAsia="tr-TR"/>
        </w:rPr>
        <w:t xml:space="preserve">MADDE </w:t>
      </w:r>
      <w:r>
        <w:rPr>
          <w:rFonts w:ascii="Times New Roman" w:eastAsia="Times New Roman" w:hAnsi="Times New Roman" w:cs="Times New Roman"/>
          <w:b/>
          <w:bCs/>
          <w:sz w:val="18"/>
          <w:szCs w:val="18"/>
          <w:lang w:eastAsia="tr-TR"/>
        </w:rPr>
        <w:t>14</w:t>
      </w:r>
      <w:r w:rsidRPr="00BF041E">
        <w:rPr>
          <w:rFonts w:ascii="Times New Roman" w:eastAsia="Times New Roman" w:hAnsi="Times New Roman" w:cs="Times New Roman"/>
          <w:b/>
          <w:bCs/>
          <w:sz w:val="18"/>
          <w:szCs w:val="18"/>
          <w:lang w:eastAsia="tr-TR"/>
        </w:rPr>
        <w:t xml:space="preserve">- </w:t>
      </w:r>
      <w:r w:rsidRPr="00BF041E">
        <w:rPr>
          <w:rFonts w:ascii="Times New Roman" w:eastAsia="Times New Roman" w:hAnsi="Times New Roman" w:cs="Times New Roman"/>
          <w:bCs/>
          <w:sz w:val="18"/>
          <w:szCs w:val="18"/>
          <w:lang w:eastAsia="tr-TR"/>
        </w:rPr>
        <w:t>Bu Tebliğ hükümlerini Sosyal Güvenlik Kurumu Başkanı yürütür.</w:t>
      </w:r>
    </w:p>
    <w:p w14:paraId="7943DECF" w14:textId="77777777" w:rsidR="007D55B5" w:rsidRPr="003C0CFD" w:rsidRDefault="007D55B5" w:rsidP="007D55B5">
      <w:pPr>
        <w:tabs>
          <w:tab w:val="left" w:pos="709"/>
        </w:tabs>
        <w:spacing w:after="0" w:line="240" w:lineRule="auto"/>
        <w:jc w:val="both"/>
        <w:rPr>
          <w:sz w:val="18"/>
          <w:szCs w:val="18"/>
          <w:highlight w:val="yellow"/>
        </w:rPr>
      </w:pPr>
    </w:p>
    <w:p w14:paraId="3BC7B6A4" w14:textId="77777777" w:rsidR="007D55B5" w:rsidRPr="00A25CE7" w:rsidRDefault="007D55B5" w:rsidP="007D55B5">
      <w:pPr>
        <w:tabs>
          <w:tab w:val="left" w:pos="709"/>
        </w:tabs>
        <w:spacing w:after="0" w:line="240" w:lineRule="auto"/>
        <w:jc w:val="both"/>
        <w:rPr>
          <w:rFonts w:ascii="Times New Roman" w:hAnsi="Times New Roman" w:cs="Times New Roman"/>
          <w:sz w:val="24"/>
          <w:szCs w:val="24"/>
        </w:rPr>
      </w:pPr>
    </w:p>
    <w:p w14:paraId="25133A4A" w14:textId="77777777" w:rsidR="00516995" w:rsidRDefault="00516995" w:rsidP="00FB7F56">
      <w:pPr>
        <w:keepNext/>
        <w:keepLines/>
        <w:spacing w:after="0" w:line="240" w:lineRule="auto"/>
        <w:jc w:val="both"/>
        <w:outlineLvl w:val="2"/>
        <w:rPr>
          <w:rFonts w:ascii="Times New Roman" w:hAnsi="Times New Roman" w:cs="Times New Roman"/>
          <w:b/>
          <w:bCs/>
          <w:sz w:val="18"/>
          <w:szCs w:val="18"/>
        </w:rPr>
      </w:pPr>
    </w:p>
    <w:sectPr w:rsidR="00516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08DB9" w14:textId="77777777" w:rsidR="00991688" w:rsidRDefault="00991688" w:rsidP="006E6BD5">
      <w:pPr>
        <w:spacing w:after="0" w:line="240" w:lineRule="auto"/>
      </w:pPr>
      <w:r>
        <w:separator/>
      </w:r>
    </w:p>
  </w:endnote>
  <w:endnote w:type="continuationSeparator" w:id="0">
    <w:p w14:paraId="323196B0" w14:textId="77777777" w:rsidR="00991688" w:rsidRDefault="00991688" w:rsidP="006E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ヒラギノ明朝 Pro W3">
    <w:altName w:val="Yu Gothic UI"/>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88822"/>
      <w:docPartObj>
        <w:docPartGallery w:val="Page Numbers (Bottom of Page)"/>
        <w:docPartUnique/>
      </w:docPartObj>
    </w:sdtPr>
    <w:sdtEndPr>
      <w:rPr>
        <w:rFonts w:ascii="Times New Roman" w:hAnsi="Times New Roman" w:cs="Times New Roman"/>
        <w:sz w:val="16"/>
        <w:szCs w:val="16"/>
      </w:rPr>
    </w:sdtEndPr>
    <w:sdtContent>
      <w:p w14:paraId="18D559E8" w14:textId="72E4E224" w:rsidR="00F34ECE" w:rsidRPr="006E6BD5" w:rsidRDefault="00F34ECE">
        <w:pPr>
          <w:pStyle w:val="AltBilgi"/>
          <w:jc w:val="center"/>
          <w:rPr>
            <w:rFonts w:ascii="Times New Roman" w:hAnsi="Times New Roman" w:cs="Times New Roman"/>
            <w:sz w:val="16"/>
            <w:szCs w:val="16"/>
          </w:rPr>
        </w:pPr>
        <w:r w:rsidRPr="006E6BD5">
          <w:rPr>
            <w:rFonts w:ascii="Times New Roman" w:hAnsi="Times New Roman" w:cs="Times New Roman"/>
            <w:sz w:val="16"/>
            <w:szCs w:val="16"/>
          </w:rPr>
          <w:fldChar w:fldCharType="begin"/>
        </w:r>
        <w:r w:rsidRPr="006E6BD5">
          <w:rPr>
            <w:rFonts w:ascii="Times New Roman" w:hAnsi="Times New Roman" w:cs="Times New Roman"/>
            <w:sz w:val="16"/>
            <w:szCs w:val="16"/>
          </w:rPr>
          <w:instrText>PAGE   \* MERGEFORMAT</w:instrText>
        </w:r>
        <w:r w:rsidRPr="006E6BD5">
          <w:rPr>
            <w:rFonts w:ascii="Times New Roman" w:hAnsi="Times New Roman" w:cs="Times New Roman"/>
            <w:sz w:val="16"/>
            <w:szCs w:val="16"/>
          </w:rPr>
          <w:fldChar w:fldCharType="separate"/>
        </w:r>
        <w:r w:rsidRPr="006E6BD5">
          <w:rPr>
            <w:rFonts w:ascii="Times New Roman" w:hAnsi="Times New Roman" w:cs="Times New Roman"/>
            <w:sz w:val="16"/>
            <w:szCs w:val="16"/>
          </w:rPr>
          <w:t>2</w:t>
        </w:r>
        <w:r w:rsidRPr="006E6BD5">
          <w:rPr>
            <w:rFonts w:ascii="Times New Roman" w:hAnsi="Times New Roman" w:cs="Times New Roman"/>
            <w:sz w:val="16"/>
            <w:szCs w:val="16"/>
          </w:rPr>
          <w:fldChar w:fldCharType="end"/>
        </w:r>
      </w:p>
    </w:sdtContent>
  </w:sdt>
  <w:p w14:paraId="33813978" w14:textId="77777777" w:rsidR="00F34ECE" w:rsidRDefault="00F34E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1F1D" w14:textId="77777777" w:rsidR="00991688" w:rsidRDefault="00991688" w:rsidP="006E6BD5">
      <w:pPr>
        <w:spacing w:after="0" w:line="240" w:lineRule="auto"/>
      </w:pPr>
      <w:r>
        <w:separator/>
      </w:r>
    </w:p>
  </w:footnote>
  <w:footnote w:type="continuationSeparator" w:id="0">
    <w:p w14:paraId="46D2EF8B" w14:textId="77777777" w:rsidR="00991688" w:rsidRDefault="00991688" w:rsidP="006E6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21AF1"/>
    <w:multiLevelType w:val="hybridMultilevel"/>
    <w:tmpl w:val="9C34ECF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3A80DBA"/>
    <w:multiLevelType w:val="hybridMultilevel"/>
    <w:tmpl w:val="5B621252"/>
    <w:lvl w:ilvl="0" w:tplc="153CFD9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D194F0A"/>
    <w:multiLevelType w:val="hybridMultilevel"/>
    <w:tmpl w:val="0472CD0C"/>
    <w:lvl w:ilvl="0" w:tplc="8DBE56DE">
      <w:start w:val="1"/>
      <w:numFmt w:val="decimal"/>
      <w:lvlText w:val="(%1)"/>
      <w:lvlJc w:val="left"/>
      <w:pPr>
        <w:ind w:left="1098" w:hanging="360"/>
      </w:pPr>
      <w:rPr>
        <w:rFonts w:eastAsia="Times New Roman" w:hint="default"/>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3" w15:restartNumberingAfterBreak="0">
    <w:nsid w:val="39B9269B"/>
    <w:multiLevelType w:val="hybridMultilevel"/>
    <w:tmpl w:val="885A5748"/>
    <w:lvl w:ilvl="0" w:tplc="C226B85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3B573F55"/>
    <w:multiLevelType w:val="hybridMultilevel"/>
    <w:tmpl w:val="983CE09C"/>
    <w:lvl w:ilvl="0" w:tplc="76200478">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3D054F6"/>
    <w:multiLevelType w:val="hybridMultilevel"/>
    <w:tmpl w:val="254E811A"/>
    <w:lvl w:ilvl="0" w:tplc="F290055E">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49AD2B14"/>
    <w:multiLevelType w:val="hybridMultilevel"/>
    <w:tmpl w:val="1C94CD80"/>
    <w:lvl w:ilvl="0" w:tplc="8200A9A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4CC557A0"/>
    <w:multiLevelType w:val="hybridMultilevel"/>
    <w:tmpl w:val="740A0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0A479A9"/>
    <w:multiLevelType w:val="hybridMultilevel"/>
    <w:tmpl w:val="CB1C71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E518C8"/>
    <w:multiLevelType w:val="hybridMultilevel"/>
    <w:tmpl w:val="9D2287EC"/>
    <w:lvl w:ilvl="0" w:tplc="3C6455A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F675D6F"/>
    <w:multiLevelType w:val="hybridMultilevel"/>
    <w:tmpl w:val="C31A43D6"/>
    <w:lvl w:ilvl="0" w:tplc="8200A9A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327904893">
    <w:abstractNumId w:val="7"/>
  </w:num>
  <w:num w:numId="2" w16cid:durableId="2031954425">
    <w:abstractNumId w:val="8"/>
  </w:num>
  <w:num w:numId="3" w16cid:durableId="2029405077">
    <w:abstractNumId w:val="1"/>
  </w:num>
  <w:num w:numId="4" w16cid:durableId="507251703">
    <w:abstractNumId w:val="5"/>
  </w:num>
  <w:num w:numId="5" w16cid:durableId="25110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994604">
    <w:abstractNumId w:val="4"/>
  </w:num>
  <w:num w:numId="7" w16cid:durableId="385494378">
    <w:abstractNumId w:val="3"/>
  </w:num>
  <w:num w:numId="8" w16cid:durableId="460803436">
    <w:abstractNumId w:val="10"/>
  </w:num>
  <w:num w:numId="9" w16cid:durableId="231089669">
    <w:abstractNumId w:val="6"/>
  </w:num>
  <w:num w:numId="10" w16cid:durableId="2059545242">
    <w:abstractNumId w:val="9"/>
  </w:num>
  <w:num w:numId="11" w16cid:durableId="107335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9A"/>
    <w:rsid w:val="00000D8D"/>
    <w:rsid w:val="000059B1"/>
    <w:rsid w:val="0001227E"/>
    <w:rsid w:val="00016CF1"/>
    <w:rsid w:val="000230F5"/>
    <w:rsid w:val="00027682"/>
    <w:rsid w:val="00033E0A"/>
    <w:rsid w:val="000468E0"/>
    <w:rsid w:val="000533C5"/>
    <w:rsid w:val="0006337D"/>
    <w:rsid w:val="00063C0A"/>
    <w:rsid w:val="00066D83"/>
    <w:rsid w:val="00072B09"/>
    <w:rsid w:val="00077AF3"/>
    <w:rsid w:val="00084986"/>
    <w:rsid w:val="00096BE3"/>
    <w:rsid w:val="00097ED0"/>
    <w:rsid w:val="000B35F5"/>
    <w:rsid w:val="000B7B25"/>
    <w:rsid w:val="000C444D"/>
    <w:rsid w:val="000D4057"/>
    <w:rsid w:val="000D434E"/>
    <w:rsid w:val="000E4882"/>
    <w:rsid w:val="00106F71"/>
    <w:rsid w:val="0011555A"/>
    <w:rsid w:val="00146C9A"/>
    <w:rsid w:val="00155082"/>
    <w:rsid w:val="00166D07"/>
    <w:rsid w:val="001677D8"/>
    <w:rsid w:val="00167D73"/>
    <w:rsid w:val="00181B56"/>
    <w:rsid w:val="00185892"/>
    <w:rsid w:val="001B0C06"/>
    <w:rsid w:val="001B3BB3"/>
    <w:rsid w:val="001D0CBA"/>
    <w:rsid w:val="001E0431"/>
    <w:rsid w:val="001E57EC"/>
    <w:rsid w:val="001F18AC"/>
    <w:rsid w:val="0020098C"/>
    <w:rsid w:val="00210727"/>
    <w:rsid w:val="00214A6B"/>
    <w:rsid w:val="00217206"/>
    <w:rsid w:val="0023224F"/>
    <w:rsid w:val="0025208D"/>
    <w:rsid w:val="0026503E"/>
    <w:rsid w:val="00266221"/>
    <w:rsid w:val="002747F4"/>
    <w:rsid w:val="00281F23"/>
    <w:rsid w:val="002837D4"/>
    <w:rsid w:val="00292394"/>
    <w:rsid w:val="00295F59"/>
    <w:rsid w:val="0029742C"/>
    <w:rsid w:val="002A0BE8"/>
    <w:rsid w:val="002A257D"/>
    <w:rsid w:val="002B0B94"/>
    <w:rsid w:val="002C27AD"/>
    <w:rsid w:val="002C5BE2"/>
    <w:rsid w:val="002D0259"/>
    <w:rsid w:val="002D21E4"/>
    <w:rsid w:val="002D79DB"/>
    <w:rsid w:val="002E550D"/>
    <w:rsid w:val="002F3ED3"/>
    <w:rsid w:val="00307A20"/>
    <w:rsid w:val="0031346E"/>
    <w:rsid w:val="00323115"/>
    <w:rsid w:val="00327568"/>
    <w:rsid w:val="0033254C"/>
    <w:rsid w:val="003377CD"/>
    <w:rsid w:val="00340B37"/>
    <w:rsid w:val="0034686F"/>
    <w:rsid w:val="003507BC"/>
    <w:rsid w:val="00355EA7"/>
    <w:rsid w:val="00356F75"/>
    <w:rsid w:val="00370E09"/>
    <w:rsid w:val="0037178F"/>
    <w:rsid w:val="00376011"/>
    <w:rsid w:val="00394B20"/>
    <w:rsid w:val="003961D5"/>
    <w:rsid w:val="003A0F66"/>
    <w:rsid w:val="003C3F0F"/>
    <w:rsid w:val="003C6EB8"/>
    <w:rsid w:val="003D4652"/>
    <w:rsid w:val="003D69DD"/>
    <w:rsid w:val="003E0719"/>
    <w:rsid w:val="003E6A62"/>
    <w:rsid w:val="003F35EF"/>
    <w:rsid w:val="00400365"/>
    <w:rsid w:val="00403356"/>
    <w:rsid w:val="0040586A"/>
    <w:rsid w:val="004166BB"/>
    <w:rsid w:val="004421A0"/>
    <w:rsid w:val="00445199"/>
    <w:rsid w:val="0045698B"/>
    <w:rsid w:val="0046427C"/>
    <w:rsid w:val="0046728D"/>
    <w:rsid w:val="004722AD"/>
    <w:rsid w:val="0048382C"/>
    <w:rsid w:val="00496DB1"/>
    <w:rsid w:val="004975A3"/>
    <w:rsid w:val="004A224E"/>
    <w:rsid w:val="004A579C"/>
    <w:rsid w:val="004C0FA4"/>
    <w:rsid w:val="004C46AF"/>
    <w:rsid w:val="004C7525"/>
    <w:rsid w:val="004D5B56"/>
    <w:rsid w:val="004D63C5"/>
    <w:rsid w:val="00500B15"/>
    <w:rsid w:val="005037EA"/>
    <w:rsid w:val="00505F70"/>
    <w:rsid w:val="00511A88"/>
    <w:rsid w:val="00516995"/>
    <w:rsid w:val="005309E7"/>
    <w:rsid w:val="0054332E"/>
    <w:rsid w:val="00543356"/>
    <w:rsid w:val="0054531E"/>
    <w:rsid w:val="00557A35"/>
    <w:rsid w:val="005611B4"/>
    <w:rsid w:val="00567232"/>
    <w:rsid w:val="005706B5"/>
    <w:rsid w:val="00585E21"/>
    <w:rsid w:val="005B0155"/>
    <w:rsid w:val="005B2682"/>
    <w:rsid w:val="005B459E"/>
    <w:rsid w:val="005B5533"/>
    <w:rsid w:val="005D2F07"/>
    <w:rsid w:val="005D3DFA"/>
    <w:rsid w:val="005D4662"/>
    <w:rsid w:val="005E554C"/>
    <w:rsid w:val="005F0BE1"/>
    <w:rsid w:val="005F1D06"/>
    <w:rsid w:val="00605330"/>
    <w:rsid w:val="00610FFD"/>
    <w:rsid w:val="00634444"/>
    <w:rsid w:val="006379A9"/>
    <w:rsid w:val="00642AB5"/>
    <w:rsid w:val="00650937"/>
    <w:rsid w:val="00654AFD"/>
    <w:rsid w:val="006630B2"/>
    <w:rsid w:val="00666F18"/>
    <w:rsid w:val="006736BF"/>
    <w:rsid w:val="00673C84"/>
    <w:rsid w:val="00677BF1"/>
    <w:rsid w:val="006831B3"/>
    <w:rsid w:val="006A3DED"/>
    <w:rsid w:val="006A7C4A"/>
    <w:rsid w:val="006B443B"/>
    <w:rsid w:val="006C3F5D"/>
    <w:rsid w:val="006C6135"/>
    <w:rsid w:val="006D0C99"/>
    <w:rsid w:val="006E0237"/>
    <w:rsid w:val="006E6BD5"/>
    <w:rsid w:val="006E7C2C"/>
    <w:rsid w:val="00704898"/>
    <w:rsid w:val="0073450E"/>
    <w:rsid w:val="00735D7D"/>
    <w:rsid w:val="007367F8"/>
    <w:rsid w:val="007428DA"/>
    <w:rsid w:val="00752238"/>
    <w:rsid w:val="00753BF5"/>
    <w:rsid w:val="00762748"/>
    <w:rsid w:val="0076409C"/>
    <w:rsid w:val="00783F1A"/>
    <w:rsid w:val="007917B6"/>
    <w:rsid w:val="00795F2B"/>
    <w:rsid w:val="007975F4"/>
    <w:rsid w:val="007A1866"/>
    <w:rsid w:val="007A65A2"/>
    <w:rsid w:val="007B2D49"/>
    <w:rsid w:val="007B4AB0"/>
    <w:rsid w:val="007D28D6"/>
    <w:rsid w:val="007D55B5"/>
    <w:rsid w:val="007E10CC"/>
    <w:rsid w:val="007E270A"/>
    <w:rsid w:val="007F3EE4"/>
    <w:rsid w:val="007F6579"/>
    <w:rsid w:val="00803FF8"/>
    <w:rsid w:val="0080623B"/>
    <w:rsid w:val="00806D41"/>
    <w:rsid w:val="00806E9B"/>
    <w:rsid w:val="0081279A"/>
    <w:rsid w:val="00853FF4"/>
    <w:rsid w:val="008704E1"/>
    <w:rsid w:val="00874EC9"/>
    <w:rsid w:val="008764D7"/>
    <w:rsid w:val="0088062B"/>
    <w:rsid w:val="008B278B"/>
    <w:rsid w:val="008D0A31"/>
    <w:rsid w:val="008D0C56"/>
    <w:rsid w:val="008E4782"/>
    <w:rsid w:val="008E4FB4"/>
    <w:rsid w:val="008E64C1"/>
    <w:rsid w:val="008E6E55"/>
    <w:rsid w:val="008F0CAF"/>
    <w:rsid w:val="008F5DD0"/>
    <w:rsid w:val="00917BC0"/>
    <w:rsid w:val="00922CF3"/>
    <w:rsid w:val="00941DA6"/>
    <w:rsid w:val="009465F6"/>
    <w:rsid w:val="009513CD"/>
    <w:rsid w:val="00973D29"/>
    <w:rsid w:val="00987650"/>
    <w:rsid w:val="00991688"/>
    <w:rsid w:val="00992B21"/>
    <w:rsid w:val="009A338B"/>
    <w:rsid w:val="009A385D"/>
    <w:rsid w:val="009B5581"/>
    <w:rsid w:val="009E1EC5"/>
    <w:rsid w:val="009F127F"/>
    <w:rsid w:val="00A0007E"/>
    <w:rsid w:val="00A029A7"/>
    <w:rsid w:val="00A0375D"/>
    <w:rsid w:val="00A2110B"/>
    <w:rsid w:val="00A4685E"/>
    <w:rsid w:val="00A47AEB"/>
    <w:rsid w:val="00A6036A"/>
    <w:rsid w:val="00A64C8E"/>
    <w:rsid w:val="00A663B4"/>
    <w:rsid w:val="00A90C4C"/>
    <w:rsid w:val="00AA33D6"/>
    <w:rsid w:val="00AB2514"/>
    <w:rsid w:val="00AB6AEC"/>
    <w:rsid w:val="00AD1BB0"/>
    <w:rsid w:val="00AD5952"/>
    <w:rsid w:val="00AD5CC1"/>
    <w:rsid w:val="00AF4B74"/>
    <w:rsid w:val="00AF5A1D"/>
    <w:rsid w:val="00AF6993"/>
    <w:rsid w:val="00B03102"/>
    <w:rsid w:val="00B03E56"/>
    <w:rsid w:val="00B1487A"/>
    <w:rsid w:val="00B31558"/>
    <w:rsid w:val="00B41DF2"/>
    <w:rsid w:val="00B512C2"/>
    <w:rsid w:val="00B53F58"/>
    <w:rsid w:val="00B833CA"/>
    <w:rsid w:val="00B912BC"/>
    <w:rsid w:val="00B92CAC"/>
    <w:rsid w:val="00BB0AB0"/>
    <w:rsid w:val="00BC2F99"/>
    <w:rsid w:val="00BC5F4A"/>
    <w:rsid w:val="00BD00E1"/>
    <w:rsid w:val="00BD5876"/>
    <w:rsid w:val="00BF3E93"/>
    <w:rsid w:val="00BF6787"/>
    <w:rsid w:val="00C1178B"/>
    <w:rsid w:val="00C24317"/>
    <w:rsid w:val="00C2752C"/>
    <w:rsid w:val="00C34C3E"/>
    <w:rsid w:val="00C640A5"/>
    <w:rsid w:val="00C66AB0"/>
    <w:rsid w:val="00C66C8D"/>
    <w:rsid w:val="00C718D8"/>
    <w:rsid w:val="00C76699"/>
    <w:rsid w:val="00C77079"/>
    <w:rsid w:val="00C86ADA"/>
    <w:rsid w:val="00C91100"/>
    <w:rsid w:val="00CA0AD3"/>
    <w:rsid w:val="00CA78E1"/>
    <w:rsid w:val="00CB5429"/>
    <w:rsid w:val="00CC757A"/>
    <w:rsid w:val="00CD54AA"/>
    <w:rsid w:val="00CF40A0"/>
    <w:rsid w:val="00CF52D5"/>
    <w:rsid w:val="00D12DA2"/>
    <w:rsid w:val="00D2420E"/>
    <w:rsid w:val="00D41BFA"/>
    <w:rsid w:val="00D640B4"/>
    <w:rsid w:val="00D67BAD"/>
    <w:rsid w:val="00D707A4"/>
    <w:rsid w:val="00D82325"/>
    <w:rsid w:val="00D8695C"/>
    <w:rsid w:val="00D918F0"/>
    <w:rsid w:val="00DA0F5A"/>
    <w:rsid w:val="00DB1C1A"/>
    <w:rsid w:val="00DC6A85"/>
    <w:rsid w:val="00DC7193"/>
    <w:rsid w:val="00DD2E11"/>
    <w:rsid w:val="00DE5909"/>
    <w:rsid w:val="00E00203"/>
    <w:rsid w:val="00E164A4"/>
    <w:rsid w:val="00E20B64"/>
    <w:rsid w:val="00E36904"/>
    <w:rsid w:val="00E50E68"/>
    <w:rsid w:val="00E72000"/>
    <w:rsid w:val="00E80105"/>
    <w:rsid w:val="00E85956"/>
    <w:rsid w:val="00E94334"/>
    <w:rsid w:val="00EB7049"/>
    <w:rsid w:val="00EB718B"/>
    <w:rsid w:val="00EC5A0C"/>
    <w:rsid w:val="00EE0128"/>
    <w:rsid w:val="00EE258C"/>
    <w:rsid w:val="00EF1B5C"/>
    <w:rsid w:val="00EF6F4B"/>
    <w:rsid w:val="00F02F39"/>
    <w:rsid w:val="00F10908"/>
    <w:rsid w:val="00F1399B"/>
    <w:rsid w:val="00F34678"/>
    <w:rsid w:val="00F34ECE"/>
    <w:rsid w:val="00F41D4B"/>
    <w:rsid w:val="00F57E14"/>
    <w:rsid w:val="00F64B42"/>
    <w:rsid w:val="00F75918"/>
    <w:rsid w:val="00F85E6F"/>
    <w:rsid w:val="00F86526"/>
    <w:rsid w:val="00F9319C"/>
    <w:rsid w:val="00F938AA"/>
    <w:rsid w:val="00FB664C"/>
    <w:rsid w:val="00FB7F56"/>
    <w:rsid w:val="00FC05EC"/>
    <w:rsid w:val="00FC2DC7"/>
    <w:rsid w:val="00FC4544"/>
    <w:rsid w:val="00FC4FBC"/>
    <w:rsid w:val="00FD08DD"/>
    <w:rsid w:val="00FD2740"/>
    <w:rsid w:val="00FE1339"/>
    <w:rsid w:val="00FE39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CAE"/>
  <w15:chartTrackingRefBased/>
  <w15:docId w15:val="{864BB709-1510-4675-BC4D-38335133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E4"/>
  </w:style>
  <w:style w:type="paragraph" w:styleId="Balk4">
    <w:name w:val="heading 4"/>
    <w:basedOn w:val="Normal"/>
    <w:next w:val="Normal"/>
    <w:link w:val="Balk4Char"/>
    <w:unhideWhenUsed/>
    <w:qFormat/>
    <w:rsid w:val="007F3EE4"/>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EE258C"/>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7F3EE4"/>
    <w:rPr>
      <w:rFonts w:asciiTheme="majorHAnsi" w:eastAsiaTheme="majorEastAsia" w:hAnsiTheme="majorHAnsi" w:cstheme="majorBidi"/>
      <w:b/>
      <w:bCs/>
      <w:i/>
      <w:iCs/>
      <w:color w:val="4472C4" w:themeColor="accent1"/>
    </w:rPr>
  </w:style>
  <w:style w:type="paragraph" w:styleId="AralkYok">
    <w:name w:val="No Spacing"/>
    <w:link w:val="AralkYokChar"/>
    <w:uiPriority w:val="99"/>
    <w:qFormat/>
    <w:rsid w:val="007F3EE4"/>
    <w:pPr>
      <w:spacing w:after="0" w:line="240" w:lineRule="auto"/>
    </w:pPr>
    <w:rPr>
      <w:rFonts w:ascii="Calibri" w:eastAsia="Times New Roman" w:hAnsi="Calibri" w:cs="Calibri"/>
    </w:rPr>
  </w:style>
  <w:style w:type="character" w:customStyle="1" w:styleId="AralkYokChar">
    <w:name w:val="Aralık Yok Char"/>
    <w:basedOn w:val="VarsaylanParagrafYazTipi"/>
    <w:link w:val="AralkYok"/>
    <w:uiPriority w:val="99"/>
    <w:rsid w:val="007F3EE4"/>
    <w:rPr>
      <w:rFonts w:ascii="Calibri" w:eastAsia="Times New Roman" w:hAnsi="Calibri" w:cs="Calibri"/>
    </w:rPr>
  </w:style>
  <w:style w:type="table" w:styleId="TabloKlavuzu">
    <w:name w:val="Table Grid"/>
    <w:basedOn w:val="NormalTablo"/>
    <w:uiPriority w:val="39"/>
    <w:rsid w:val="007F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3EE4"/>
    <w:pPr>
      <w:ind w:left="720"/>
      <w:contextualSpacing/>
    </w:pPr>
  </w:style>
  <w:style w:type="paragraph" w:styleId="NormalWeb">
    <w:name w:val="Normal (Web)"/>
    <w:basedOn w:val="Normal"/>
    <w:uiPriority w:val="99"/>
    <w:unhideWhenUsed/>
    <w:rsid w:val="006630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EE258C"/>
    <w:rPr>
      <w:rFonts w:asciiTheme="majorHAnsi" w:eastAsiaTheme="majorEastAsia" w:hAnsiTheme="majorHAnsi" w:cstheme="majorBidi"/>
      <w:color w:val="2F5496" w:themeColor="accent1" w:themeShade="BF"/>
      <w:sz w:val="24"/>
      <w:szCs w:val="24"/>
      <w:lang w:eastAsia="tr-TR"/>
    </w:rPr>
  </w:style>
  <w:style w:type="paragraph" w:styleId="GvdeMetniGirintisi">
    <w:name w:val="Body Text Indent"/>
    <w:basedOn w:val="Normal"/>
    <w:link w:val="GvdeMetniGirintisiChar"/>
    <w:rsid w:val="00A6036A"/>
    <w:pPr>
      <w:spacing w:after="0" w:line="240" w:lineRule="auto"/>
      <w:ind w:firstLine="851"/>
      <w:jc w:val="both"/>
    </w:pPr>
    <w:rPr>
      <w:rFonts w:ascii="Arial" w:eastAsia="Times New Roman" w:hAnsi="Arial" w:cs="Times New Roman"/>
      <w:sz w:val="24"/>
      <w:szCs w:val="20"/>
      <w:lang w:val="de-DE" w:eastAsia="tr-TR"/>
    </w:rPr>
  </w:style>
  <w:style w:type="character" w:customStyle="1" w:styleId="GvdeMetniGirintisiChar">
    <w:name w:val="Gövde Metni Girintisi Char"/>
    <w:basedOn w:val="VarsaylanParagrafYazTipi"/>
    <w:link w:val="GvdeMetniGirintisi"/>
    <w:rsid w:val="00A6036A"/>
    <w:rPr>
      <w:rFonts w:ascii="Arial" w:eastAsia="Times New Roman" w:hAnsi="Arial" w:cs="Times New Roman"/>
      <w:sz w:val="24"/>
      <w:szCs w:val="20"/>
      <w:lang w:val="de-DE" w:eastAsia="tr-TR"/>
    </w:rPr>
  </w:style>
  <w:style w:type="character" w:styleId="Gl">
    <w:name w:val="Strong"/>
    <w:basedOn w:val="VarsaylanParagrafYazTipi"/>
    <w:uiPriority w:val="22"/>
    <w:qFormat/>
    <w:rsid w:val="00DB1C1A"/>
    <w:rPr>
      <w:b/>
      <w:bCs/>
    </w:rPr>
  </w:style>
  <w:style w:type="paragraph" w:styleId="stBilgi">
    <w:name w:val="header"/>
    <w:basedOn w:val="Normal"/>
    <w:link w:val="stBilgiChar"/>
    <w:uiPriority w:val="99"/>
    <w:unhideWhenUsed/>
    <w:rsid w:val="006E6B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BD5"/>
  </w:style>
  <w:style w:type="paragraph" w:styleId="AltBilgi">
    <w:name w:val="footer"/>
    <w:basedOn w:val="Normal"/>
    <w:link w:val="AltBilgiChar"/>
    <w:uiPriority w:val="99"/>
    <w:unhideWhenUsed/>
    <w:rsid w:val="006E6B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BD5"/>
  </w:style>
  <w:style w:type="paragraph" w:customStyle="1" w:styleId="numbered1">
    <w:name w:val="numbered1"/>
    <w:basedOn w:val="Normal"/>
    <w:uiPriority w:val="99"/>
    <w:rsid w:val="007D55B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00596">
      <w:bodyDiv w:val="1"/>
      <w:marLeft w:val="0"/>
      <w:marRight w:val="0"/>
      <w:marTop w:val="0"/>
      <w:marBottom w:val="0"/>
      <w:divBdr>
        <w:top w:val="none" w:sz="0" w:space="0" w:color="auto"/>
        <w:left w:val="none" w:sz="0" w:space="0" w:color="auto"/>
        <w:bottom w:val="none" w:sz="0" w:space="0" w:color="auto"/>
        <w:right w:val="none" w:sz="0" w:space="0" w:color="auto"/>
      </w:divBdr>
    </w:div>
    <w:div w:id="417093975">
      <w:bodyDiv w:val="1"/>
      <w:marLeft w:val="0"/>
      <w:marRight w:val="0"/>
      <w:marTop w:val="0"/>
      <w:marBottom w:val="0"/>
      <w:divBdr>
        <w:top w:val="none" w:sz="0" w:space="0" w:color="auto"/>
        <w:left w:val="none" w:sz="0" w:space="0" w:color="auto"/>
        <w:bottom w:val="none" w:sz="0" w:space="0" w:color="auto"/>
        <w:right w:val="none" w:sz="0" w:space="0" w:color="auto"/>
      </w:divBdr>
    </w:div>
    <w:div w:id="496264275">
      <w:bodyDiv w:val="1"/>
      <w:marLeft w:val="0"/>
      <w:marRight w:val="0"/>
      <w:marTop w:val="0"/>
      <w:marBottom w:val="0"/>
      <w:divBdr>
        <w:top w:val="none" w:sz="0" w:space="0" w:color="auto"/>
        <w:left w:val="none" w:sz="0" w:space="0" w:color="auto"/>
        <w:bottom w:val="none" w:sz="0" w:space="0" w:color="auto"/>
        <w:right w:val="none" w:sz="0" w:space="0" w:color="auto"/>
      </w:divBdr>
    </w:div>
    <w:div w:id="5409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2022</Words>
  <Characters>11530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AKMAN</dc:creator>
  <cp:keywords/>
  <dc:description/>
  <cp:lastModifiedBy>ACALYA SAGIROGLU</cp:lastModifiedBy>
  <cp:revision>7</cp:revision>
  <cp:lastPrinted>2026-03-26T12:33:00Z</cp:lastPrinted>
  <dcterms:created xsi:type="dcterms:W3CDTF">2026-04-08T05:49:00Z</dcterms:created>
  <dcterms:modified xsi:type="dcterms:W3CDTF">2026-06-01T07:48:00Z</dcterms:modified>
</cp:coreProperties>
</file>